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00756" w14:textId="77777777" w:rsidR="00F34E53" w:rsidRPr="00F34E53" w:rsidRDefault="00F34E53" w:rsidP="00F34E53">
      <w:r w:rsidRPr="00F34E53">
        <w:rPr>
          <w:b/>
          <w:bCs/>
        </w:rPr>
        <w:t>Asia University Guidelines for Synchronous Co-Teaching and Deep Bowl Curriculum Implementation</w:t>
      </w:r>
      <w:r w:rsidRPr="00F34E53">
        <w:br/>
        <w:t>Approved at the 1st Academic Affairs Meeting of the Second Semester, Academic Year 2016 (March 22, 2017)</w:t>
      </w:r>
      <w:r w:rsidRPr="00F34E53">
        <w:br/>
        <w:t>Issued on April 10, 2017, Document No. 1060004578</w:t>
      </w:r>
    </w:p>
    <w:p w14:paraId="12F64D7B" w14:textId="77777777" w:rsidR="00F34E53" w:rsidRPr="00F34E53" w:rsidRDefault="00F34E53" w:rsidP="00F34E53">
      <w:r w:rsidRPr="00F34E53">
        <w:pict w14:anchorId="79978681">
          <v:rect id="_x0000_i1031" style="width:0;height:1.5pt" o:hralign="center" o:hrstd="t" o:hr="t" fillcolor="#a0a0a0" stroked="f"/>
        </w:pict>
      </w:r>
    </w:p>
    <w:p w14:paraId="0E0715FE" w14:textId="77777777" w:rsidR="00F34E53" w:rsidRPr="00F34E53" w:rsidRDefault="00F34E53" w:rsidP="00F34E53">
      <w:r w:rsidRPr="00F34E53">
        <w:rPr>
          <w:b/>
          <w:bCs/>
        </w:rPr>
        <w:t>1.</w:t>
      </w:r>
      <w:r w:rsidRPr="00F34E53">
        <w:t xml:space="preserve"> To enhance the quality of teaching and promote active learning among students, Asia University has established the “Guidelines for Synchronous Co-Teaching and Deep Bowl Curriculum Implementation” (hereinafter referred to as “the Guidelines”).</w:t>
      </w:r>
    </w:p>
    <w:p w14:paraId="40E36E7D" w14:textId="77777777" w:rsidR="00F34E53" w:rsidRPr="00F34E53" w:rsidRDefault="00F34E53" w:rsidP="00F34E53">
      <w:r w:rsidRPr="00F34E53">
        <w:rPr>
          <w:b/>
          <w:bCs/>
        </w:rPr>
        <w:t>2.</w:t>
      </w:r>
      <w:r w:rsidRPr="00F34E53">
        <w:t xml:space="preserve"> The term </w:t>
      </w:r>
      <w:r w:rsidRPr="00F34E53">
        <w:rPr>
          <w:b/>
          <w:bCs/>
        </w:rPr>
        <w:t>“Synchronous Co-Teaching”</w:t>
      </w:r>
      <w:r w:rsidRPr="00F34E53">
        <w:t xml:space="preserve"> as used in these Guidelines refers to cross-disciplinary teaching collaboration between teachers from different academic fields or departments, aimed at achieving the instructional goals of cross-departmental courses. The collaborating instructors share common interests and understandings regarding interdisciplinary issues, and design their teaching activities and content accordingly.</w:t>
      </w:r>
    </w:p>
    <w:p w14:paraId="70129A9B" w14:textId="77777777" w:rsidR="00F34E53" w:rsidRPr="00F34E53" w:rsidRDefault="00F34E53" w:rsidP="00F34E53">
      <w:r w:rsidRPr="00F34E53">
        <w:rPr>
          <w:b/>
          <w:bCs/>
        </w:rPr>
        <w:t>3.</w:t>
      </w:r>
      <w:r w:rsidRPr="00F34E53">
        <w:t xml:space="preserve"> The term </w:t>
      </w:r>
      <w:r w:rsidRPr="00F34E53">
        <w:rPr>
          <w:b/>
          <w:bCs/>
        </w:rPr>
        <w:t>“Deep Bowl Curriculum”</w:t>
      </w:r>
      <w:r w:rsidRPr="00F34E53">
        <w:t xml:space="preserve"> refers to the restructuring of course content in terms of quality and quantity. By reducing the number of courses taught by instructors and the number of courses taken by students while increasing the credit hours per course, this model allows for the delivery of more comprehensive knowledge and cultivates higher-order cognitive abilities. It aims to counteract the limitations of “shallow-dish” learning models.</w:t>
      </w:r>
    </w:p>
    <w:p w14:paraId="14C22D6A" w14:textId="77777777" w:rsidR="00F34E53" w:rsidRPr="00F34E53" w:rsidRDefault="00F34E53" w:rsidP="00F34E53">
      <w:r w:rsidRPr="00F34E53">
        <w:rPr>
          <w:b/>
          <w:bCs/>
        </w:rPr>
        <w:t>4.</w:t>
      </w:r>
      <w:r w:rsidRPr="00F34E53">
        <w:t xml:space="preserve"> The implementation of “Synchronous Co-Teaching” or “Deep Bowl Curriculum” should be based on the following teaching goals:</w:t>
      </w:r>
    </w:p>
    <w:p w14:paraId="7854EDC8" w14:textId="77777777" w:rsidR="00F34E53" w:rsidRPr="00F34E53" w:rsidRDefault="00F34E53" w:rsidP="00F34E53">
      <w:pPr>
        <w:numPr>
          <w:ilvl w:val="0"/>
          <w:numId w:val="1"/>
        </w:numPr>
      </w:pPr>
      <w:r w:rsidRPr="00F34E53">
        <w:t>(1) Achieving the intended outcomes of interdisciplinary or in-depth instruction.</w:t>
      </w:r>
    </w:p>
    <w:p w14:paraId="6D330D49" w14:textId="77777777" w:rsidR="00F34E53" w:rsidRPr="00F34E53" w:rsidRDefault="00F34E53" w:rsidP="00F34E53">
      <w:pPr>
        <w:numPr>
          <w:ilvl w:val="0"/>
          <w:numId w:val="1"/>
        </w:numPr>
      </w:pPr>
      <w:r w:rsidRPr="00F34E53">
        <w:t>(2) Enhancing students’ critical thinking, practical, and analytical skills.</w:t>
      </w:r>
    </w:p>
    <w:p w14:paraId="5A919EA2" w14:textId="77777777" w:rsidR="00F34E53" w:rsidRPr="00F34E53" w:rsidRDefault="00F34E53" w:rsidP="00F34E53">
      <w:pPr>
        <w:numPr>
          <w:ilvl w:val="0"/>
          <w:numId w:val="1"/>
        </w:numPr>
      </w:pPr>
      <w:r w:rsidRPr="00F34E53">
        <w:t>(3) Improving students’ overall learning competitiveness.</w:t>
      </w:r>
    </w:p>
    <w:p w14:paraId="1F7F8319" w14:textId="77777777" w:rsidR="00F34E53" w:rsidRPr="00F34E53" w:rsidRDefault="00F34E53" w:rsidP="00F34E53">
      <w:pPr>
        <w:numPr>
          <w:ilvl w:val="0"/>
          <w:numId w:val="1"/>
        </w:numPr>
      </w:pPr>
      <w:r w:rsidRPr="00F34E53">
        <w:t>(4) Fulfilling other meaningful educational objectives.</w:t>
      </w:r>
    </w:p>
    <w:p w14:paraId="79D50C2D" w14:textId="77777777" w:rsidR="00F34E53" w:rsidRPr="00F34E53" w:rsidRDefault="00F34E53" w:rsidP="00F34E53">
      <w:r w:rsidRPr="00F34E53">
        <w:rPr>
          <w:b/>
          <w:bCs/>
        </w:rPr>
        <w:lastRenderedPageBreak/>
        <w:t>5.</w:t>
      </w:r>
      <w:r w:rsidRPr="00F34E53">
        <w:t xml:space="preserve"> The implementation of these teaching models is limited to full-time faculty members of Asia University. Under the principle of “college-centered curriculum,” each </w:t>
      </w:r>
      <w:r w:rsidRPr="00F34E53">
        <w:rPr>
          <w:b/>
          <w:bCs/>
        </w:rPr>
        <w:t>college</w:t>
      </w:r>
      <w:r w:rsidRPr="00F34E53">
        <w:t xml:space="preserve"> may pilot </w:t>
      </w:r>
      <w:r w:rsidRPr="00F34E53">
        <w:rPr>
          <w:b/>
          <w:bCs/>
        </w:rPr>
        <w:t>one course per semester</w:t>
      </w:r>
      <w:r w:rsidRPr="00F34E53">
        <w:t>.</w:t>
      </w:r>
    </w:p>
    <w:p w14:paraId="7D412017" w14:textId="77777777" w:rsidR="00F34E53" w:rsidRPr="00F34E53" w:rsidRDefault="00F34E53" w:rsidP="00F34E53">
      <w:pPr>
        <w:numPr>
          <w:ilvl w:val="0"/>
          <w:numId w:val="2"/>
        </w:numPr>
      </w:pPr>
      <w:r w:rsidRPr="00F34E53">
        <w:t>“Synchronous Co-Teaching” courses should be taught collaboratively by two instructors from different departments and professional fields. Each instructor will be credited with the full teaching hours of the course.</w:t>
      </w:r>
    </w:p>
    <w:p w14:paraId="46791B66" w14:textId="77777777" w:rsidR="00F34E53" w:rsidRPr="00F34E53" w:rsidRDefault="00F34E53" w:rsidP="00F34E53">
      <w:pPr>
        <w:numPr>
          <w:ilvl w:val="0"/>
          <w:numId w:val="2"/>
        </w:numPr>
      </w:pPr>
      <w:r w:rsidRPr="00F34E53">
        <w:t>The teaching hours for “Deep Bowl Curriculum” courses may be up to twice the number of the original course credits, on a trial basis.</w:t>
      </w:r>
    </w:p>
    <w:p w14:paraId="2F1CFA70" w14:textId="77777777" w:rsidR="00F34E53" w:rsidRPr="00F34E53" w:rsidRDefault="00F34E53" w:rsidP="00F34E53">
      <w:r w:rsidRPr="00F34E53">
        <w:rPr>
          <w:b/>
          <w:bCs/>
        </w:rPr>
        <w:t>6.</w:t>
      </w:r>
      <w:r w:rsidRPr="00F34E53">
        <w:t xml:space="preserve"> Colleges or departments may also assign instructors to design courses or course clusters in response to timely, major, or critical social issues. These courses should incorporate interdisciplinary thinking and discussions on the integration of technology and society to help students develop critical thinking, practical, and analytical skills.</w:t>
      </w:r>
    </w:p>
    <w:p w14:paraId="05C06120" w14:textId="77777777" w:rsidR="00F34E53" w:rsidRPr="00F34E53" w:rsidRDefault="00F34E53" w:rsidP="00F34E53">
      <w:r w:rsidRPr="00F34E53">
        <w:rPr>
          <w:b/>
          <w:bCs/>
        </w:rPr>
        <w:t>7.</w:t>
      </w:r>
      <w:r w:rsidRPr="00F34E53">
        <w:t xml:space="preserve"> Faculty members applying to offer “Synchronous Co-Teaching” or “Deep Bowl Curriculum” courses must specify the course format and student assessment methods in the </w:t>
      </w:r>
      <w:r w:rsidRPr="00F34E53">
        <w:rPr>
          <w:b/>
          <w:bCs/>
        </w:rPr>
        <w:t>syllabus</w:t>
      </w:r>
      <w:r w:rsidRPr="00F34E53">
        <w:t xml:space="preserve">, and submit a </w:t>
      </w:r>
      <w:r w:rsidRPr="00F34E53">
        <w:rPr>
          <w:b/>
          <w:bCs/>
        </w:rPr>
        <w:t>teaching plan</w:t>
      </w:r>
      <w:r w:rsidRPr="00F34E53">
        <w:t xml:space="preserve"> to their department. After being reviewed and approved by the department and college curriculum committees, the course may be offered starting the following semester.</w:t>
      </w:r>
    </w:p>
    <w:p w14:paraId="405AB236" w14:textId="77777777" w:rsidR="00F34E53" w:rsidRPr="00F34E53" w:rsidRDefault="00F34E53" w:rsidP="00F34E53">
      <w:r w:rsidRPr="00F34E53">
        <w:rPr>
          <w:b/>
          <w:bCs/>
        </w:rPr>
        <w:t>8.</w:t>
      </w:r>
      <w:r w:rsidRPr="00F34E53">
        <w:t xml:space="preserve"> The </w:t>
      </w:r>
      <w:r w:rsidRPr="00F34E53">
        <w:rPr>
          <w:b/>
          <w:bCs/>
        </w:rPr>
        <w:t>teaching plan</w:t>
      </w:r>
      <w:r w:rsidRPr="00F34E53">
        <w:t xml:space="preserve"> for “Synchronous Co-Teaching” or “Deep Bowl Curriculum” courses must include the following:</w:t>
      </w:r>
    </w:p>
    <w:p w14:paraId="7273942F" w14:textId="77777777" w:rsidR="00F34E53" w:rsidRPr="00F34E53" w:rsidRDefault="00F34E53" w:rsidP="00F34E53">
      <w:pPr>
        <w:numPr>
          <w:ilvl w:val="0"/>
          <w:numId w:val="3"/>
        </w:numPr>
      </w:pPr>
      <w:r w:rsidRPr="00F34E53">
        <w:t>(1) Course objectives</w:t>
      </w:r>
    </w:p>
    <w:p w14:paraId="5708D5B8" w14:textId="77777777" w:rsidR="00F34E53" w:rsidRPr="00F34E53" w:rsidRDefault="00F34E53" w:rsidP="00F34E53">
      <w:pPr>
        <w:numPr>
          <w:ilvl w:val="0"/>
          <w:numId w:val="3"/>
        </w:numPr>
      </w:pPr>
      <w:r w:rsidRPr="00F34E53">
        <w:t>(2) Course description</w:t>
      </w:r>
    </w:p>
    <w:p w14:paraId="08FBDD6C" w14:textId="77777777" w:rsidR="00F34E53" w:rsidRPr="00F34E53" w:rsidRDefault="00F34E53" w:rsidP="00F34E53">
      <w:pPr>
        <w:numPr>
          <w:ilvl w:val="0"/>
          <w:numId w:val="3"/>
        </w:numPr>
      </w:pPr>
      <w:r w:rsidRPr="00F34E53">
        <w:t>(3) Weekly teaching schedule and instructional design</w:t>
      </w:r>
    </w:p>
    <w:p w14:paraId="416A2916" w14:textId="77777777" w:rsidR="00F34E53" w:rsidRPr="00F34E53" w:rsidRDefault="00F34E53" w:rsidP="00F34E53">
      <w:pPr>
        <w:numPr>
          <w:ilvl w:val="0"/>
          <w:numId w:val="3"/>
        </w:numPr>
      </w:pPr>
      <w:r w:rsidRPr="00F34E53">
        <w:t>(4) Basic competencies or core skills students will develop</w:t>
      </w:r>
    </w:p>
    <w:p w14:paraId="20B71B51" w14:textId="77777777" w:rsidR="00F34E53" w:rsidRPr="00F34E53" w:rsidRDefault="00F34E53" w:rsidP="00F34E53">
      <w:pPr>
        <w:numPr>
          <w:ilvl w:val="0"/>
          <w:numId w:val="3"/>
        </w:numPr>
      </w:pPr>
      <w:r w:rsidRPr="00F34E53">
        <w:t>(5) Connection to new trends or developments in the academic field</w:t>
      </w:r>
    </w:p>
    <w:p w14:paraId="2B9FC29A" w14:textId="77777777" w:rsidR="00F34E53" w:rsidRPr="00F34E53" w:rsidRDefault="00F34E53" w:rsidP="00F34E53">
      <w:pPr>
        <w:numPr>
          <w:ilvl w:val="0"/>
          <w:numId w:val="3"/>
        </w:numPr>
      </w:pPr>
      <w:r w:rsidRPr="00F34E53">
        <w:t>(6) Specific areas in which student competitiveness will be improved</w:t>
      </w:r>
    </w:p>
    <w:p w14:paraId="2AF94F0F" w14:textId="77777777" w:rsidR="00F34E53" w:rsidRPr="00F34E53" w:rsidRDefault="00F34E53" w:rsidP="00F34E53">
      <w:pPr>
        <w:numPr>
          <w:ilvl w:val="0"/>
          <w:numId w:val="3"/>
        </w:numPr>
      </w:pPr>
      <w:r w:rsidRPr="00F34E53">
        <w:t>(7) Teaching unit themes and evaluation criteria</w:t>
      </w:r>
    </w:p>
    <w:p w14:paraId="395AC65F" w14:textId="77777777" w:rsidR="00F34E53" w:rsidRPr="00F34E53" w:rsidRDefault="00F34E53" w:rsidP="00F34E53">
      <w:pPr>
        <w:numPr>
          <w:ilvl w:val="0"/>
          <w:numId w:val="3"/>
        </w:numPr>
      </w:pPr>
      <w:r w:rsidRPr="00F34E53">
        <w:t>(8) Methods for assessing student learning outcomes</w:t>
      </w:r>
    </w:p>
    <w:p w14:paraId="6A78EEC5" w14:textId="77777777" w:rsidR="00F34E53" w:rsidRPr="00F34E53" w:rsidRDefault="00F34E53" w:rsidP="00F34E53">
      <w:pPr>
        <w:numPr>
          <w:ilvl w:val="0"/>
          <w:numId w:val="3"/>
        </w:numPr>
      </w:pPr>
      <w:r w:rsidRPr="00F34E53">
        <w:lastRenderedPageBreak/>
        <w:t>(9) At least 10 questions for the student satisfaction survey</w:t>
      </w:r>
    </w:p>
    <w:p w14:paraId="3C6CE79D" w14:textId="77777777" w:rsidR="00F34E53" w:rsidRPr="00F34E53" w:rsidRDefault="00F34E53" w:rsidP="00F34E53">
      <w:r w:rsidRPr="00F34E53">
        <w:rPr>
          <w:b/>
          <w:bCs/>
        </w:rPr>
        <w:t>9.</w:t>
      </w:r>
      <w:r w:rsidRPr="00F34E53">
        <w:t xml:space="preserve"> At the end of the semester, students enrolled in “Synchronous Co-Teaching” or “Deep Bowl Curriculum” courses must complete a </w:t>
      </w:r>
      <w:r w:rsidRPr="00F34E53">
        <w:rPr>
          <w:b/>
          <w:bCs/>
        </w:rPr>
        <w:t>satisfaction survey</w:t>
      </w:r>
      <w:r w:rsidRPr="00F34E53">
        <w:t xml:space="preserve">. The course instructor shall present a </w:t>
      </w:r>
      <w:r w:rsidRPr="00F34E53">
        <w:rPr>
          <w:b/>
          <w:bCs/>
        </w:rPr>
        <w:t>teaching effectiveness report</w:t>
      </w:r>
      <w:r w:rsidRPr="00F34E53">
        <w:t xml:space="preserve"> at the curriculum committee meeting in the following semester as a reference for course continuation and improvement.</w:t>
      </w:r>
    </w:p>
    <w:p w14:paraId="38FE4907" w14:textId="77777777" w:rsidR="00F34E53" w:rsidRPr="00F34E53" w:rsidRDefault="00F34E53" w:rsidP="00F34E53">
      <w:r w:rsidRPr="00F34E53">
        <w:rPr>
          <w:b/>
          <w:bCs/>
        </w:rPr>
        <w:t>10.</w:t>
      </w:r>
      <w:r w:rsidRPr="00F34E53">
        <w:t xml:space="preserve"> Instructors of these courses shall submit a </w:t>
      </w:r>
      <w:r w:rsidRPr="00F34E53">
        <w:rPr>
          <w:b/>
          <w:bCs/>
        </w:rPr>
        <w:t>student learning outcome report</w:t>
      </w:r>
      <w:r w:rsidRPr="00F34E53">
        <w:t xml:space="preserve"> or a </w:t>
      </w:r>
      <w:r w:rsidRPr="00F34E53">
        <w:rPr>
          <w:b/>
          <w:bCs/>
        </w:rPr>
        <w:t>teaching reflection report</w:t>
      </w:r>
      <w:r w:rsidRPr="00F34E53">
        <w:t xml:space="preserve"> at departmental or college meetings in the following semester. When necessary, the department or college may assign teaching observations or experience-sharing sessions to support ongoing development.</w:t>
      </w:r>
    </w:p>
    <w:p w14:paraId="0E4466F7" w14:textId="77777777" w:rsidR="00F34E53" w:rsidRPr="00F34E53" w:rsidRDefault="00F34E53" w:rsidP="00F34E53">
      <w:r w:rsidRPr="00F34E53">
        <w:rPr>
          <w:b/>
          <w:bCs/>
        </w:rPr>
        <w:t>11.</w:t>
      </w:r>
      <w:r w:rsidRPr="00F34E53">
        <w:t xml:space="preserve"> These Guidelines shall be implemented upon approval by the Academic Affairs Meeting and final approval by the University President. Any amendments shall follow the same procedure.</w:t>
      </w:r>
    </w:p>
    <w:p w14:paraId="05985DA6" w14:textId="77777777" w:rsidR="00B40F9F" w:rsidRDefault="00B40F9F"/>
    <w:sectPr w:rsidR="00B40F9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EF0FA" w14:textId="77777777" w:rsidR="000E4E90" w:rsidRDefault="000E4E90" w:rsidP="00F34E53">
      <w:pPr>
        <w:spacing w:after="0" w:line="240" w:lineRule="auto"/>
      </w:pPr>
      <w:r>
        <w:separator/>
      </w:r>
    </w:p>
  </w:endnote>
  <w:endnote w:type="continuationSeparator" w:id="0">
    <w:p w14:paraId="50FD0DC9" w14:textId="77777777" w:rsidR="000E4E90" w:rsidRDefault="000E4E90" w:rsidP="00F34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6BA2B" w14:textId="77777777" w:rsidR="000E4E90" w:rsidRDefault="000E4E90" w:rsidP="00F34E53">
      <w:pPr>
        <w:spacing w:after="0" w:line="240" w:lineRule="auto"/>
      </w:pPr>
      <w:r>
        <w:separator/>
      </w:r>
    </w:p>
  </w:footnote>
  <w:footnote w:type="continuationSeparator" w:id="0">
    <w:p w14:paraId="2116B2C8" w14:textId="77777777" w:rsidR="000E4E90" w:rsidRDefault="000E4E90" w:rsidP="00F34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93C9C"/>
    <w:multiLevelType w:val="multilevel"/>
    <w:tmpl w:val="B4A0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F06971"/>
    <w:multiLevelType w:val="multilevel"/>
    <w:tmpl w:val="E382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5F3F9F"/>
    <w:multiLevelType w:val="multilevel"/>
    <w:tmpl w:val="F80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1472174">
    <w:abstractNumId w:val="0"/>
  </w:num>
  <w:num w:numId="2" w16cid:durableId="1693914532">
    <w:abstractNumId w:val="1"/>
  </w:num>
  <w:num w:numId="3" w16cid:durableId="2063550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84"/>
    <w:rsid w:val="000E4E90"/>
    <w:rsid w:val="001D738B"/>
    <w:rsid w:val="001E17BE"/>
    <w:rsid w:val="004C5284"/>
    <w:rsid w:val="00B40F9F"/>
    <w:rsid w:val="00F34E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A382445-39A6-4669-80D7-6E1BE4A9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C528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C528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C528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C528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C528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C528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C528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528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C528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C528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C528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C528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C528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C5284"/>
    <w:rPr>
      <w:rFonts w:eastAsiaTheme="majorEastAsia" w:cstheme="majorBidi"/>
      <w:color w:val="0F4761" w:themeColor="accent1" w:themeShade="BF"/>
    </w:rPr>
  </w:style>
  <w:style w:type="character" w:customStyle="1" w:styleId="60">
    <w:name w:val="標題 6 字元"/>
    <w:basedOn w:val="a0"/>
    <w:link w:val="6"/>
    <w:uiPriority w:val="9"/>
    <w:semiHidden/>
    <w:rsid w:val="004C5284"/>
    <w:rPr>
      <w:rFonts w:eastAsiaTheme="majorEastAsia" w:cstheme="majorBidi"/>
      <w:color w:val="595959" w:themeColor="text1" w:themeTint="A6"/>
    </w:rPr>
  </w:style>
  <w:style w:type="character" w:customStyle="1" w:styleId="70">
    <w:name w:val="標題 7 字元"/>
    <w:basedOn w:val="a0"/>
    <w:link w:val="7"/>
    <w:uiPriority w:val="9"/>
    <w:semiHidden/>
    <w:rsid w:val="004C5284"/>
    <w:rPr>
      <w:rFonts w:eastAsiaTheme="majorEastAsia" w:cstheme="majorBidi"/>
      <w:color w:val="595959" w:themeColor="text1" w:themeTint="A6"/>
    </w:rPr>
  </w:style>
  <w:style w:type="character" w:customStyle="1" w:styleId="80">
    <w:name w:val="標題 8 字元"/>
    <w:basedOn w:val="a0"/>
    <w:link w:val="8"/>
    <w:uiPriority w:val="9"/>
    <w:semiHidden/>
    <w:rsid w:val="004C5284"/>
    <w:rPr>
      <w:rFonts w:eastAsiaTheme="majorEastAsia" w:cstheme="majorBidi"/>
      <w:color w:val="272727" w:themeColor="text1" w:themeTint="D8"/>
    </w:rPr>
  </w:style>
  <w:style w:type="character" w:customStyle="1" w:styleId="90">
    <w:name w:val="標題 9 字元"/>
    <w:basedOn w:val="a0"/>
    <w:link w:val="9"/>
    <w:uiPriority w:val="9"/>
    <w:semiHidden/>
    <w:rsid w:val="004C5284"/>
    <w:rPr>
      <w:rFonts w:eastAsiaTheme="majorEastAsia" w:cstheme="majorBidi"/>
      <w:color w:val="272727" w:themeColor="text1" w:themeTint="D8"/>
    </w:rPr>
  </w:style>
  <w:style w:type="paragraph" w:styleId="a3">
    <w:name w:val="Title"/>
    <w:basedOn w:val="a"/>
    <w:next w:val="a"/>
    <w:link w:val="a4"/>
    <w:uiPriority w:val="10"/>
    <w:qFormat/>
    <w:rsid w:val="004C528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C52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528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C52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5284"/>
    <w:pPr>
      <w:spacing w:before="160"/>
      <w:jc w:val="center"/>
    </w:pPr>
    <w:rPr>
      <w:i/>
      <w:iCs/>
      <w:color w:val="404040" w:themeColor="text1" w:themeTint="BF"/>
    </w:rPr>
  </w:style>
  <w:style w:type="character" w:customStyle="1" w:styleId="a8">
    <w:name w:val="引文 字元"/>
    <w:basedOn w:val="a0"/>
    <w:link w:val="a7"/>
    <w:uiPriority w:val="29"/>
    <w:rsid w:val="004C5284"/>
    <w:rPr>
      <w:i/>
      <w:iCs/>
      <w:color w:val="404040" w:themeColor="text1" w:themeTint="BF"/>
    </w:rPr>
  </w:style>
  <w:style w:type="paragraph" w:styleId="a9">
    <w:name w:val="List Paragraph"/>
    <w:basedOn w:val="a"/>
    <w:uiPriority w:val="34"/>
    <w:qFormat/>
    <w:rsid w:val="004C5284"/>
    <w:pPr>
      <w:ind w:left="720"/>
      <w:contextualSpacing/>
    </w:pPr>
  </w:style>
  <w:style w:type="character" w:styleId="aa">
    <w:name w:val="Intense Emphasis"/>
    <w:basedOn w:val="a0"/>
    <w:uiPriority w:val="21"/>
    <w:qFormat/>
    <w:rsid w:val="004C5284"/>
    <w:rPr>
      <w:i/>
      <w:iCs/>
      <w:color w:val="0F4761" w:themeColor="accent1" w:themeShade="BF"/>
    </w:rPr>
  </w:style>
  <w:style w:type="paragraph" w:styleId="ab">
    <w:name w:val="Intense Quote"/>
    <w:basedOn w:val="a"/>
    <w:next w:val="a"/>
    <w:link w:val="ac"/>
    <w:uiPriority w:val="30"/>
    <w:qFormat/>
    <w:rsid w:val="004C5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C5284"/>
    <w:rPr>
      <w:i/>
      <w:iCs/>
      <w:color w:val="0F4761" w:themeColor="accent1" w:themeShade="BF"/>
    </w:rPr>
  </w:style>
  <w:style w:type="character" w:styleId="ad">
    <w:name w:val="Intense Reference"/>
    <w:basedOn w:val="a0"/>
    <w:uiPriority w:val="32"/>
    <w:qFormat/>
    <w:rsid w:val="004C5284"/>
    <w:rPr>
      <w:b/>
      <w:bCs/>
      <w:smallCaps/>
      <w:color w:val="0F4761" w:themeColor="accent1" w:themeShade="BF"/>
      <w:spacing w:val="5"/>
    </w:rPr>
  </w:style>
  <w:style w:type="paragraph" w:styleId="ae">
    <w:name w:val="header"/>
    <w:basedOn w:val="a"/>
    <w:link w:val="af"/>
    <w:uiPriority w:val="99"/>
    <w:unhideWhenUsed/>
    <w:rsid w:val="00F34E53"/>
    <w:pPr>
      <w:tabs>
        <w:tab w:val="center" w:pos="4153"/>
        <w:tab w:val="right" w:pos="8306"/>
      </w:tabs>
      <w:snapToGrid w:val="0"/>
    </w:pPr>
    <w:rPr>
      <w:sz w:val="20"/>
      <w:szCs w:val="20"/>
    </w:rPr>
  </w:style>
  <w:style w:type="character" w:customStyle="1" w:styleId="af">
    <w:name w:val="頁首 字元"/>
    <w:basedOn w:val="a0"/>
    <w:link w:val="ae"/>
    <w:uiPriority w:val="99"/>
    <w:rsid w:val="00F34E53"/>
    <w:rPr>
      <w:sz w:val="20"/>
      <w:szCs w:val="20"/>
    </w:rPr>
  </w:style>
  <w:style w:type="paragraph" w:styleId="af0">
    <w:name w:val="footer"/>
    <w:basedOn w:val="a"/>
    <w:link w:val="af1"/>
    <w:uiPriority w:val="99"/>
    <w:unhideWhenUsed/>
    <w:rsid w:val="00F34E53"/>
    <w:pPr>
      <w:tabs>
        <w:tab w:val="center" w:pos="4153"/>
        <w:tab w:val="right" w:pos="8306"/>
      </w:tabs>
      <w:snapToGrid w:val="0"/>
    </w:pPr>
    <w:rPr>
      <w:sz w:val="20"/>
      <w:szCs w:val="20"/>
    </w:rPr>
  </w:style>
  <w:style w:type="character" w:customStyle="1" w:styleId="af1">
    <w:name w:val="頁尾 字元"/>
    <w:basedOn w:val="a0"/>
    <w:link w:val="af0"/>
    <w:uiPriority w:val="99"/>
    <w:rsid w:val="00F34E5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377988">
      <w:bodyDiv w:val="1"/>
      <w:marLeft w:val="0"/>
      <w:marRight w:val="0"/>
      <w:marTop w:val="0"/>
      <w:marBottom w:val="0"/>
      <w:divBdr>
        <w:top w:val="none" w:sz="0" w:space="0" w:color="auto"/>
        <w:left w:val="none" w:sz="0" w:space="0" w:color="auto"/>
        <w:bottom w:val="none" w:sz="0" w:space="0" w:color="auto"/>
        <w:right w:val="none" w:sz="0" w:space="0" w:color="auto"/>
      </w:divBdr>
    </w:div>
    <w:div w:id="83206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3789</Characters>
  <Application>Microsoft Office Word</Application>
  <DocSecurity>0</DocSecurity>
  <Lines>31</Lines>
  <Paragraphs>8</Paragraphs>
  <ScaleCrop>false</ScaleCrop>
  <Company>亞洲大學 Asia University</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2025-04-16T06:00:00Z</dcterms:created>
  <dcterms:modified xsi:type="dcterms:W3CDTF">2025-04-16T06:00:00Z</dcterms:modified>
</cp:coreProperties>
</file>