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60BD41" w14:textId="77777777" w:rsidR="00342C78" w:rsidRPr="00342C78" w:rsidRDefault="00342C78" w:rsidP="00342C78">
      <w:pPr>
        <w:widowControl/>
        <w:spacing w:before="100" w:beforeAutospacing="1" w:after="100" w:afterAutospacing="1"/>
        <w:outlineLvl w:val="2"/>
        <w:rPr>
          <w:rFonts w:ascii="新細明體" w:eastAsia="新細明體" w:hAnsi="新細明體" w:cs="新細明體"/>
          <w:b/>
          <w:bCs/>
          <w:kern w:val="0"/>
          <w:sz w:val="27"/>
          <w:szCs w:val="27"/>
        </w:rPr>
      </w:pPr>
      <w:r w:rsidRPr="00342C78">
        <w:rPr>
          <w:rFonts w:ascii="新細明體" w:eastAsia="新細明體" w:hAnsi="新細明體" w:cs="新細明體"/>
          <w:b/>
          <w:bCs/>
          <w:kern w:val="0"/>
          <w:sz w:val="27"/>
          <w:szCs w:val="27"/>
        </w:rPr>
        <w:t>Asia University Pre-College Preparatory Micro-Curriculum Implementation Guidelines</w:t>
      </w:r>
    </w:p>
    <w:p w14:paraId="0E4911ED" w14:textId="77777777" w:rsidR="00342C78" w:rsidRPr="00342C78" w:rsidRDefault="00342C78" w:rsidP="00342C78">
      <w:pPr>
        <w:widowControl/>
        <w:spacing w:before="100" w:beforeAutospacing="1" w:after="100" w:afterAutospacing="1"/>
        <w:rPr>
          <w:rFonts w:ascii="新細明體" w:eastAsia="新細明體" w:hAnsi="新細明體" w:cs="新細明體"/>
          <w:kern w:val="0"/>
          <w:szCs w:val="24"/>
        </w:rPr>
      </w:pPr>
      <w:r w:rsidRPr="00342C78">
        <w:rPr>
          <w:rFonts w:ascii="新細明體" w:eastAsia="新細明體" w:hAnsi="新細明體" w:cs="新細明體"/>
          <w:b/>
          <w:bCs/>
          <w:kern w:val="0"/>
          <w:szCs w:val="24"/>
        </w:rPr>
        <w:t>Approved at the 9th Administrative Meeting of the 104th Academic Year on April 27, 2016</w:t>
      </w:r>
      <w:r w:rsidRPr="00342C78">
        <w:rPr>
          <w:rFonts w:ascii="新細明體" w:eastAsia="新細明體" w:hAnsi="新細明體" w:cs="新細明體"/>
          <w:kern w:val="0"/>
          <w:szCs w:val="24"/>
        </w:rPr>
        <w:br/>
      </w:r>
      <w:r w:rsidRPr="00342C78">
        <w:rPr>
          <w:rFonts w:ascii="新細明體" w:eastAsia="新細明體" w:hAnsi="新細明體" w:cs="新細明體"/>
          <w:b/>
          <w:bCs/>
          <w:kern w:val="0"/>
          <w:szCs w:val="24"/>
        </w:rPr>
        <w:t>Issued by the Office of Academic Affairs on May 6, 2016 (Ref. No. 1050006170)</w:t>
      </w:r>
      <w:r w:rsidRPr="00342C78">
        <w:rPr>
          <w:rFonts w:ascii="新細明體" w:eastAsia="新細明體" w:hAnsi="新細明體" w:cs="新細明體"/>
          <w:kern w:val="0"/>
          <w:szCs w:val="24"/>
        </w:rPr>
        <w:br/>
      </w:r>
      <w:r w:rsidRPr="00342C78">
        <w:rPr>
          <w:rFonts w:ascii="新細明體" w:eastAsia="新細明體" w:hAnsi="新細明體" w:cs="新細明體"/>
          <w:b/>
          <w:bCs/>
          <w:kern w:val="0"/>
          <w:szCs w:val="24"/>
        </w:rPr>
        <w:t>Revised at the 7th Administrative Meeting of the 111th Academic Year on May 24, 2023</w:t>
      </w:r>
      <w:r w:rsidRPr="00342C78">
        <w:rPr>
          <w:rFonts w:ascii="新細明體" w:eastAsia="新細明體" w:hAnsi="新細明體" w:cs="新細明體"/>
          <w:kern w:val="0"/>
          <w:szCs w:val="24"/>
        </w:rPr>
        <w:br/>
      </w:r>
      <w:r w:rsidRPr="00342C78">
        <w:rPr>
          <w:rFonts w:ascii="新細明體" w:eastAsia="新細明體" w:hAnsi="新細明體" w:cs="新細明體"/>
          <w:b/>
          <w:bCs/>
          <w:kern w:val="0"/>
          <w:szCs w:val="24"/>
        </w:rPr>
        <w:t>Issued by the Office of Academic Affairs on June 7, 2023 (Ref. No. 1120008587)</w:t>
      </w:r>
    </w:p>
    <w:p w14:paraId="24416420" w14:textId="77777777" w:rsidR="00342C78" w:rsidRPr="00342C78" w:rsidRDefault="00342C78" w:rsidP="00342C78">
      <w:pPr>
        <w:widowControl/>
        <w:rPr>
          <w:rFonts w:ascii="新細明體" w:eastAsia="新細明體" w:hAnsi="新細明體" w:cs="新細明體"/>
          <w:kern w:val="0"/>
          <w:szCs w:val="24"/>
        </w:rPr>
      </w:pPr>
      <w:r w:rsidRPr="00342C78">
        <w:rPr>
          <w:rFonts w:ascii="新細明體" w:eastAsia="新細明體" w:hAnsi="新細明體" w:cs="新細明體"/>
          <w:kern w:val="0"/>
          <w:szCs w:val="24"/>
        </w:rPr>
        <w:pict w14:anchorId="22E3487E">
          <v:rect id="_x0000_i1025" style="width:0;height:1.5pt" o:hralign="center" o:hrstd="t" o:hr="t" fillcolor="#a0a0a0" stroked="f"/>
        </w:pict>
      </w:r>
    </w:p>
    <w:p w14:paraId="7BAAEDD9" w14:textId="77777777" w:rsidR="00342C78" w:rsidRPr="00342C78" w:rsidRDefault="00342C78" w:rsidP="00342C78">
      <w:pPr>
        <w:widowControl/>
        <w:spacing w:before="100" w:beforeAutospacing="1" w:after="100" w:afterAutospacing="1"/>
        <w:rPr>
          <w:rFonts w:ascii="新細明體" w:eastAsia="新細明體" w:hAnsi="新細明體" w:cs="新細明體"/>
          <w:kern w:val="0"/>
          <w:szCs w:val="24"/>
        </w:rPr>
      </w:pPr>
      <w:r w:rsidRPr="00342C78">
        <w:rPr>
          <w:rFonts w:ascii="新細明體" w:eastAsia="新細明體" w:hAnsi="新細明體" w:cs="新細明體"/>
          <w:b/>
          <w:bCs/>
          <w:kern w:val="0"/>
          <w:szCs w:val="24"/>
        </w:rPr>
        <w:t>Article 1</w:t>
      </w:r>
      <w:r w:rsidRPr="00342C78">
        <w:rPr>
          <w:rFonts w:ascii="新細明體" w:eastAsia="新細明體" w:hAnsi="新細明體" w:cs="新細明體"/>
          <w:kern w:val="0"/>
          <w:szCs w:val="24"/>
        </w:rPr>
        <w:br/>
        <w:t>These guidelines are established to assist students admitted to Asia University in getting an early understanding of their learning paths and available academic resources, ensuring a smooth transition into university coursework. They aim to enhance students' willingness to enroll.</w:t>
      </w:r>
    </w:p>
    <w:p w14:paraId="67738FF2" w14:textId="77777777" w:rsidR="00342C78" w:rsidRPr="00342C78" w:rsidRDefault="00342C78" w:rsidP="00342C78">
      <w:pPr>
        <w:widowControl/>
        <w:spacing w:before="100" w:beforeAutospacing="1" w:after="100" w:afterAutospacing="1"/>
        <w:rPr>
          <w:rFonts w:ascii="新細明體" w:eastAsia="新細明體" w:hAnsi="新細明體" w:cs="新細明體"/>
          <w:kern w:val="0"/>
          <w:szCs w:val="24"/>
        </w:rPr>
      </w:pPr>
      <w:r w:rsidRPr="00342C78">
        <w:rPr>
          <w:rFonts w:ascii="新細明體" w:eastAsia="新細明體" w:hAnsi="新細明體" w:cs="新細明體"/>
          <w:b/>
          <w:bCs/>
          <w:kern w:val="0"/>
          <w:szCs w:val="24"/>
        </w:rPr>
        <w:t>Article 2</w:t>
      </w:r>
      <w:r w:rsidRPr="00342C78">
        <w:rPr>
          <w:rFonts w:ascii="新細明體" w:eastAsia="新細明體" w:hAnsi="新細明體" w:cs="新細明體"/>
          <w:kern w:val="0"/>
          <w:szCs w:val="24"/>
        </w:rPr>
        <w:br/>
        <w:t>The "Pre-College Preparatory Micro-Curriculum" refers to courses offered by the university's departments or course-providing units that incoming freshmen can participate in before their enrollment. These micro-curricula are designed to help students transition smoothly to university-level learning.</w:t>
      </w:r>
    </w:p>
    <w:p w14:paraId="57662954" w14:textId="77777777" w:rsidR="00342C78" w:rsidRPr="00342C78" w:rsidRDefault="00342C78" w:rsidP="00342C78">
      <w:pPr>
        <w:widowControl/>
        <w:numPr>
          <w:ilvl w:val="0"/>
          <w:numId w:val="1"/>
        </w:numPr>
        <w:spacing w:before="100" w:beforeAutospacing="1" w:after="100" w:afterAutospacing="1"/>
        <w:rPr>
          <w:rFonts w:ascii="新細明體" w:eastAsia="新細明體" w:hAnsi="新細明體" w:cs="新細明體"/>
          <w:kern w:val="0"/>
          <w:szCs w:val="24"/>
        </w:rPr>
      </w:pPr>
      <w:r w:rsidRPr="00342C78">
        <w:rPr>
          <w:rFonts w:ascii="新細明體" w:eastAsia="新細明體" w:hAnsi="新細明體" w:cs="新細明體"/>
          <w:kern w:val="0"/>
          <w:szCs w:val="24"/>
        </w:rPr>
        <w:t>The micro-curriculum should be two weeks long and is generally implemented between July and August each year.</w:t>
      </w:r>
    </w:p>
    <w:p w14:paraId="054C635F" w14:textId="77777777" w:rsidR="00342C78" w:rsidRPr="00342C78" w:rsidRDefault="00342C78" w:rsidP="00342C78">
      <w:pPr>
        <w:widowControl/>
        <w:spacing w:before="100" w:beforeAutospacing="1" w:after="100" w:afterAutospacing="1"/>
        <w:rPr>
          <w:rFonts w:ascii="新細明體" w:eastAsia="新細明體" w:hAnsi="新細明體" w:cs="新細明體"/>
          <w:kern w:val="0"/>
          <w:szCs w:val="24"/>
        </w:rPr>
      </w:pPr>
      <w:r w:rsidRPr="00342C78">
        <w:rPr>
          <w:rFonts w:ascii="新細明體" w:eastAsia="新細明體" w:hAnsi="新細明體" w:cs="新細明體"/>
          <w:b/>
          <w:bCs/>
          <w:kern w:val="0"/>
          <w:szCs w:val="24"/>
        </w:rPr>
        <w:t>Article 3</w:t>
      </w:r>
      <w:r w:rsidRPr="00342C78">
        <w:rPr>
          <w:rFonts w:ascii="新細明體" w:eastAsia="新細明體" w:hAnsi="新細明體" w:cs="新細明體"/>
          <w:kern w:val="0"/>
          <w:szCs w:val="24"/>
        </w:rPr>
        <w:br/>
        <w:t>The micro-curriculum should follow an 18-hour per credit ratio. Students will receive "micro-credits" (e.g., 0.2 or 0.5 credits) for completion. After admission, freshmen may apply to have these credits counted toward their graduation requirements, along with credits from MOOCs, "Self-Directed Learning," or recognized off-campus internships or company training hours. Each department will review and approve the applicability of these credits toward graduation requirements.</w:t>
      </w:r>
    </w:p>
    <w:p w14:paraId="5E8CDD8C" w14:textId="77777777" w:rsidR="00342C78" w:rsidRPr="00342C78" w:rsidRDefault="00342C78" w:rsidP="00342C78">
      <w:pPr>
        <w:widowControl/>
        <w:numPr>
          <w:ilvl w:val="0"/>
          <w:numId w:val="2"/>
        </w:numPr>
        <w:spacing w:before="100" w:beforeAutospacing="1" w:after="100" w:afterAutospacing="1"/>
        <w:rPr>
          <w:rFonts w:ascii="新細明體" w:eastAsia="新細明體" w:hAnsi="新細明體" w:cs="新細明體"/>
          <w:kern w:val="0"/>
          <w:szCs w:val="24"/>
        </w:rPr>
      </w:pPr>
      <w:r w:rsidRPr="00342C78">
        <w:rPr>
          <w:rFonts w:ascii="新細明體" w:eastAsia="新細明體" w:hAnsi="新細明體" w:cs="新細明體"/>
          <w:kern w:val="0"/>
          <w:szCs w:val="24"/>
        </w:rPr>
        <w:t>The regulations on "Student Self-Directed Learning" credits will follow the guidelines stipulated in the "Student Self-Directed Learning Implementation Guidelines."</w:t>
      </w:r>
    </w:p>
    <w:p w14:paraId="5D1C19E0" w14:textId="77777777" w:rsidR="00342C78" w:rsidRPr="00342C78" w:rsidRDefault="00342C78" w:rsidP="00342C78">
      <w:pPr>
        <w:widowControl/>
        <w:spacing w:before="100" w:beforeAutospacing="1" w:after="100" w:afterAutospacing="1"/>
        <w:rPr>
          <w:rFonts w:ascii="新細明體" w:eastAsia="新細明體" w:hAnsi="新細明體" w:cs="新細明體"/>
          <w:kern w:val="0"/>
          <w:szCs w:val="24"/>
        </w:rPr>
      </w:pPr>
      <w:r w:rsidRPr="00342C78">
        <w:rPr>
          <w:rFonts w:ascii="新細明體" w:eastAsia="新細明體" w:hAnsi="新細明體" w:cs="新細明體"/>
          <w:b/>
          <w:bCs/>
          <w:kern w:val="0"/>
          <w:szCs w:val="24"/>
        </w:rPr>
        <w:lastRenderedPageBreak/>
        <w:t>Article 4</w:t>
      </w:r>
      <w:r w:rsidRPr="00342C78">
        <w:rPr>
          <w:rFonts w:ascii="新細明體" w:eastAsia="新細明體" w:hAnsi="新細明體" w:cs="新細明體"/>
          <w:kern w:val="0"/>
          <w:szCs w:val="24"/>
        </w:rPr>
        <w:br/>
        <w:t>The "Pre-College Preparatory Micro-Curriculum" should be planned and led by each college. The curriculum proposal (as outlined in Attachment 2) must include:</w:t>
      </w:r>
    </w:p>
    <w:p w14:paraId="1A19944C" w14:textId="77777777" w:rsidR="00342C78" w:rsidRPr="00342C78" w:rsidRDefault="00342C78" w:rsidP="00342C78">
      <w:pPr>
        <w:widowControl/>
        <w:numPr>
          <w:ilvl w:val="0"/>
          <w:numId w:val="3"/>
        </w:numPr>
        <w:spacing w:before="100" w:beforeAutospacing="1" w:after="100" w:afterAutospacing="1"/>
        <w:rPr>
          <w:rFonts w:ascii="新細明體" w:eastAsia="新細明體" w:hAnsi="新細明體" w:cs="新細明體"/>
          <w:kern w:val="0"/>
          <w:szCs w:val="24"/>
        </w:rPr>
      </w:pPr>
      <w:r w:rsidRPr="00342C78">
        <w:rPr>
          <w:rFonts w:ascii="新細明體" w:eastAsia="新細明體" w:hAnsi="新細明體" w:cs="新細明體"/>
          <w:kern w:val="0"/>
          <w:szCs w:val="24"/>
        </w:rPr>
        <w:t>Features that highlight the college's development focus.</w:t>
      </w:r>
    </w:p>
    <w:p w14:paraId="625AECFE" w14:textId="77777777" w:rsidR="00342C78" w:rsidRPr="00342C78" w:rsidRDefault="00342C78" w:rsidP="00342C78">
      <w:pPr>
        <w:widowControl/>
        <w:numPr>
          <w:ilvl w:val="0"/>
          <w:numId w:val="3"/>
        </w:numPr>
        <w:spacing w:before="100" w:beforeAutospacing="1" w:after="100" w:afterAutospacing="1"/>
        <w:rPr>
          <w:rFonts w:ascii="新細明體" w:eastAsia="新細明體" w:hAnsi="新細明體" w:cs="新細明體"/>
          <w:kern w:val="0"/>
          <w:szCs w:val="24"/>
        </w:rPr>
      </w:pPr>
      <w:r w:rsidRPr="00342C78">
        <w:rPr>
          <w:rFonts w:ascii="新細明體" w:eastAsia="新細明體" w:hAnsi="新細明體" w:cs="新細明體"/>
          <w:kern w:val="0"/>
          <w:szCs w:val="24"/>
        </w:rPr>
        <w:t>An exploration of new trends in the field.</w:t>
      </w:r>
    </w:p>
    <w:p w14:paraId="5542ADC1" w14:textId="77777777" w:rsidR="00342C78" w:rsidRPr="00342C78" w:rsidRDefault="00342C78" w:rsidP="00342C78">
      <w:pPr>
        <w:widowControl/>
        <w:numPr>
          <w:ilvl w:val="0"/>
          <w:numId w:val="3"/>
        </w:numPr>
        <w:spacing w:before="100" w:beforeAutospacing="1" w:after="100" w:afterAutospacing="1"/>
        <w:rPr>
          <w:rFonts w:ascii="新細明體" w:eastAsia="新細明體" w:hAnsi="新細明體" w:cs="新細明體"/>
          <w:kern w:val="0"/>
          <w:szCs w:val="24"/>
        </w:rPr>
      </w:pPr>
      <w:r w:rsidRPr="00342C78">
        <w:rPr>
          <w:rFonts w:ascii="新細明體" w:eastAsia="新細明體" w:hAnsi="新細明體" w:cs="新細明體"/>
          <w:kern w:val="0"/>
          <w:szCs w:val="24"/>
        </w:rPr>
        <w:t>Coverage of at least two academic fields.</w:t>
      </w:r>
    </w:p>
    <w:p w14:paraId="7A10AB03" w14:textId="77777777" w:rsidR="00342C78" w:rsidRPr="00342C78" w:rsidRDefault="00342C78" w:rsidP="00342C78">
      <w:pPr>
        <w:widowControl/>
        <w:numPr>
          <w:ilvl w:val="0"/>
          <w:numId w:val="3"/>
        </w:numPr>
        <w:spacing w:before="100" w:beforeAutospacing="1" w:after="100" w:afterAutospacing="1"/>
        <w:rPr>
          <w:rFonts w:ascii="新細明體" w:eastAsia="新細明體" w:hAnsi="新細明體" w:cs="新細明體"/>
          <w:kern w:val="0"/>
          <w:szCs w:val="24"/>
        </w:rPr>
      </w:pPr>
      <w:r w:rsidRPr="00342C78">
        <w:rPr>
          <w:rFonts w:ascii="新細明體" w:eastAsia="新細明體" w:hAnsi="新細明體" w:cs="新細明體"/>
          <w:kern w:val="0"/>
          <w:szCs w:val="24"/>
        </w:rPr>
        <w:t>Comprising 3 to 5 courses.</w:t>
      </w:r>
      <w:r w:rsidRPr="00342C78">
        <w:rPr>
          <w:rFonts w:ascii="新細明體" w:eastAsia="新細明體" w:hAnsi="新細明體" w:cs="新細明體"/>
          <w:kern w:val="0"/>
          <w:szCs w:val="24"/>
        </w:rPr>
        <w:br/>
        <w:t>Each college must plan at least one preparatory micro-curriculum, with a maximum of 3 credits per program. Each credit corresponds to 18 hours of coursework. The program may include related activities or be organized as a camp. The course proposal and application for offering the curriculum must be discussed and approved by the "Curriculum Committee," and submitted to the Office of Academic Affairs by the 5th week of the semester at the latest.</w:t>
      </w:r>
    </w:p>
    <w:p w14:paraId="6C7D937D" w14:textId="77777777" w:rsidR="00342C78" w:rsidRPr="00342C78" w:rsidRDefault="00342C78" w:rsidP="00342C78">
      <w:pPr>
        <w:widowControl/>
        <w:spacing w:before="100" w:beforeAutospacing="1" w:after="100" w:afterAutospacing="1"/>
        <w:rPr>
          <w:rFonts w:ascii="新細明體" w:eastAsia="新細明體" w:hAnsi="新細明體" w:cs="新細明體"/>
          <w:kern w:val="0"/>
          <w:szCs w:val="24"/>
        </w:rPr>
      </w:pPr>
      <w:r w:rsidRPr="00342C78">
        <w:rPr>
          <w:rFonts w:ascii="新細明體" w:eastAsia="新細明體" w:hAnsi="新細明體" w:cs="新細明體"/>
          <w:b/>
          <w:bCs/>
          <w:kern w:val="0"/>
          <w:szCs w:val="24"/>
        </w:rPr>
        <w:t>Article 5</w:t>
      </w:r>
      <w:r w:rsidRPr="00342C78">
        <w:rPr>
          <w:rFonts w:ascii="新細明體" w:eastAsia="新細明體" w:hAnsi="新細明體" w:cs="新細明體"/>
          <w:kern w:val="0"/>
          <w:szCs w:val="24"/>
        </w:rPr>
        <w:br/>
        <w:t>If any college organizes related activities or a camp-style preparatory micro-curriculum, and needs to use campus facilities or dormitories, they must request assistance from the Office of General Affairs, the Office of Student Affairs, or other relevant departments.</w:t>
      </w:r>
      <w:r w:rsidRPr="00342C78">
        <w:rPr>
          <w:rFonts w:ascii="新細明體" w:eastAsia="新細明體" w:hAnsi="新細明體" w:cs="新細明體"/>
          <w:kern w:val="0"/>
          <w:szCs w:val="24"/>
        </w:rPr>
        <w:br/>
        <w:t>The hourly wages for teachers involved in teaching the preparatory micro-curriculum will be covered by the funding for new student activities.</w:t>
      </w:r>
    </w:p>
    <w:p w14:paraId="289016ED" w14:textId="77777777" w:rsidR="00342C78" w:rsidRPr="00342C78" w:rsidRDefault="00342C78" w:rsidP="00342C78">
      <w:pPr>
        <w:widowControl/>
        <w:spacing w:before="100" w:beforeAutospacing="1" w:after="100" w:afterAutospacing="1"/>
        <w:rPr>
          <w:rFonts w:ascii="新細明體" w:eastAsia="新細明體" w:hAnsi="新細明體" w:cs="新細明體"/>
          <w:kern w:val="0"/>
          <w:szCs w:val="24"/>
        </w:rPr>
      </w:pPr>
      <w:r w:rsidRPr="00342C78">
        <w:rPr>
          <w:rFonts w:ascii="新細明體" w:eastAsia="新細明體" w:hAnsi="新細明體" w:cs="新細明體"/>
          <w:b/>
          <w:bCs/>
          <w:kern w:val="0"/>
          <w:szCs w:val="24"/>
        </w:rPr>
        <w:t>Article 6</w:t>
      </w:r>
      <w:r w:rsidRPr="00342C78">
        <w:rPr>
          <w:rFonts w:ascii="新細明體" w:eastAsia="新細明體" w:hAnsi="新細明體" w:cs="新細明體"/>
          <w:kern w:val="0"/>
          <w:szCs w:val="24"/>
        </w:rPr>
        <w:br/>
        <w:t>These guidelines were approved by the Administrative Meeting and, after being reviewed and approved by the President, are to be implemented. Any revisions will follow the same process.</w:t>
      </w:r>
    </w:p>
    <w:p w14:paraId="65695B59" w14:textId="77777777" w:rsidR="00BA012A" w:rsidRDefault="00BA012A">
      <w:bookmarkStart w:id="0" w:name="_GoBack"/>
      <w:bookmarkEnd w:id="0"/>
    </w:p>
    <w:sectPr w:rsidR="00BA012A">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10768E" w14:textId="77777777" w:rsidR="003D1D57" w:rsidRDefault="003D1D57" w:rsidP="00342C78">
      <w:r>
        <w:separator/>
      </w:r>
    </w:p>
  </w:endnote>
  <w:endnote w:type="continuationSeparator" w:id="0">
    <w:p w14:paraId="60F82FD4" w14:textId="77777777" w:rsidR="003D1D57" w:rsidRDefault="003D1D57" w:rsidP="00342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78D76F" w14:textId="77777777" w:rsidR="003D1D57" w:rsidRDefault="003D1D57" w:rsidP="00342C78">
      <w:r>
        <w:separator/>
      </w:r>
    </w:p>
  </w:footnote>
  <w:footnote w:type="continuationSeparator" w:id="0">
    <w:p w14:paraId="36F7BEF8" w14:textId="77777777" w:rsidR="003D1D57" w:rsidRDefault="003D1D57" w:rsidP="00342C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1E2599"/>
    <w:multiLevelType w:val="multilevel"/>
    <w:tmpl w:val="2D0453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A9B7265"/>
    <w:multiLevelType w:val="multilevel"/>
    <w:tmpl w:val="BF48B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FDF5E17"/>
    <w:multiLevelType w:val="multilevel"/>
    <w:tmpl w:val="CEE48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7FF"/>
    <w:rsid w:val="00342C78"/>
    <w:rsid w:val="003D1D57"/>
    <w:rsid w:val="00BA012A"/>
    <w:rsid w:val="00E227F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9D162BB-2CBC-4B46-80CC-8D3E37080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3">
    <w:name w:val="heading 3"/>
    <w:basedOn w:val="a"/>
    <w:link w:val="30"/>
    <w:uiPriority w:val="9"/>
    <w:qFormat/>
    <w:rsid w:val="00342C78"/>
    <w:pPr>
      <w:widowControl/>
      <w:spacing w:before="100" w:beforeAutospacing="1" w:after="100" w:afterAutospacing="1"/>
      <w:outlineLvl w:val="2"/>
    </w:pPr>
    <w:rPr>
      <w:rFonts w:ascii="新細明體" w:eastAsia="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42C78"/>
    <w:pPr>
      <w:tabs>
        <w:tab w:val="center" w:pos="4153"/>
        <w:tab w:val="right" w:pos="8306"/>
      </w:tabs>
      <w:snapToGrid w:val="0"/>
    </w:pPr>
    <w:rPr>
      <w:sz w:val="20"/>
      <w:szCs w:val="20"/>
    </w:rPr>
  </w:style>
  <w:style w:type="character" w:customStyle="1" w:styleId="a4">
    <w:name w:val="頁首 字元"/>
    <w:basedOn w:val="a0"/>
    <w:link w:val="a3"/>
    <w:uiPriority w:val="99"/>
    <w:rsid w:val="00342C78"/>
    <w:rPr>
      <w:sz w:val="20"/>
      <w:szCs w:val="20"/>
    </w:rPr>
  </w:style>
  <w:style w:type="paragraph" w:styleId="a5">
    <w:name w:val="footer"/>
    <w:basedOn w:val="a"/>
    <w:link w:val="a6"/>
    <w:uiPriority w:val="99"/>
    <w:unhideWhenUsed/>
    <w:rsid w:val="00342C78"/>
    <w:pPr>
      <w:tabs>
        <w:tab w:val="center" w:pos="4153"/>
        <w:tab w:val="right" w:pos="8306"/>
      </w:tabs>
      <w:snapToGrid w:val="0"/>
    </w:pPr>
    <w:rPr>
      <w:sz w:val="20"/>
      <w:szCs w:val="20"/>
    </w:rPr>
  </w:style>
  <w:style w:type="character" w:customStyle="1" w:styleId="a6">
    <w:name w:val="頁尾 字元"/>
    <w:basedOn w:val="a0"/>
    <w:link w:val="a5"/>
    <w:uiPriority w:val="99"/>
    <w:rsid w:val="00342C78"/>
    <w:rPr>
      <w:sz w:val="20"/>
      <w:szCs w:val="20"/>
    </w:rPr>
  </w:style>
  <w:style w:type="character" w:customStyle="1" w:styleId="30">
    <w:name w:val="標題 3 字元"/>
    <w:basedOn w:val="a0"/>
    <w:link w:val="3"/>
    <w:uiPriority w:val="9"/>
    <w:rsid w:val="00342C78"/>
    <w:rPr>
      <w:rFonts w:ascii="新細明體" w:eastAsia="新細明體" w:hAnsi="新細明體" w:cs="新細明體"/>
      <w:b/>
      <w:bCs/>
      <w:kern w:val="0"/>
      <w:sz w:val="27"/>
      <w:szCs w:val="27"/>
    </w:rPr>
  </w:style>
  <w:style w:type="paragraph" w:styleId="Web">
    <w:name w:val="Normal (Web)"/>
    <w:basedOn w:val="a"/>
    <w:uiPriority w:val="99"/>
    <w:semiHidden/>
    <w:unhideWhenUsed/>
    <w:rsid w:val="00342C78"/>
    <w:pPr>
      <w:widowControl/>
      <w:spacing w:before="100" w:beforeAutospacing="1" w:after="100" w:afterAutospacing="1"/>
    </w:pPr>
    <w:rPr>
      <w:rFonts w:ascii="新細明體" w:eastAsia="新細明體" w:hAnsi="新細明體" w:cs="新細明體"/>
      <w:kern w:val="0"/>
      <w:szCs w:val="24"/>
    </w:rPr>
  </w:style>
  <w:style w:type="character" w:styleId="a7">
    <w:name w:val="Strong"/>
    <w:basedOn w:val="a0"/>
    <w:uiPriority w:val="22"/>
    <w:qFormat/>
    <w:rsid w:val="00342C7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240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474</Words>
  <Characters>2708</Characters>
  <Application>Microsoft Office Word</Application>
  <DocSecurity>0</DocSecurity>
  <Lines>22</Lines>
  <Paragraphs>6</Paragraphs>
  <ScaleCrop>false</ScaleCrop>
  <Company>亞洲大學 Asia University</Company>
  <LinksUpToDate>false</LinksUpToDate>
  <CharactersWithSpaces>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李婧萁</dc:creator>
  <cp:keywords/>
  <dc:description/>
  <cp:lastModifiedBy>李婧萁</cp:lastModifiedBy>
  <cp:revision>2</cp:revision>
  <dcterms:created xsi:type="dcterms:W3CDTF">2024-12-04T08:15:00Z</dcterms:created>
  <dcterms:modified xsi:type="dcterms:W3CDTF">2024-12-04T08:15:00Z</dcterms:modified>
</cp:coreProperties>
</file>