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4999F" w14:textId="77777777" w:rsidR="00A201F6" w:rsidRDefault="00A201F6" w:rsidP="00A201F6">
      <w:pPr>
        <w:widowControl/>
        <w:spacing w:before="100" w:beforeAutospacing="1" w:after="100" w:afterAutospacing="1"/>
        <w:jc w:val="center"/>
        <w:rPr>
          <w:rFonts w:ascii="新細明體" w:eastAsia="新細明體" w:hAnsi="新細明體" w:cs="新細明體"/>
          <w:b/>
          <w:bCs/>
          <w:kern w:val="0"/>
          <w:sz w:val="27"/>
          <w:szCs w:val="27"/>
        </w:rPr>
      </w:pPr>
      <w:r w:rsidRPr="00A201F6">
        <w:rPr>
          <w:rFonts w:ascii="新細明體" w:eastAsia="新細明體" w:hAnsi="新細明體" w:cs="新細明體"/>
          <w:b/>
          <w:bCs/>
          <w:kern w:val="0"/>
          <w:sz w:val="27"/>
          <w:szCs w:val="27"/>
        </w:rPr>
        <w:t>Regulations for the Organization of the Curriculum Committee of Asia University</w:t>
      </w:r>
    </w:p>
    <w:p w14:paraId="2FD28A00" w14:textId="3D0E375C"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2005.06.22: Approved and enacted at the University Affairs Meeting of Academic Year 2005.</w:t>
      </w:r>
    </w:p>
    <w:p w14:paraId="49DC51AA" w14:textId="656EA18E"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2005.11.08: Approved at the 2nd University Affairs Meeting of Academic Year 2005 to add Articles 3 and 4; amend the title, and Articles 1, 2, 6, and 7; Articles 3 to 5 were merged into new Article 5.</w:t>
      </w:r>
    </w:p>
    <w:p w14:paraId="3DA059F4" w14:textId="6038BC52"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2005.11.22: Issued via official letter Asia-Mi-Zi No. 9402142.</w:t>
      </w:r>
    </w:p>
    <w:p w14:paraId="7B055EE6" w14:textId="7B9D79AA"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2006.06.14: Approved at the 5th University Affairs Meeting of Academic Year 2005 to add Articles 5, 7, 9, 10, and 11; amend Articles 1, 2, 3, 4, and 6; and renumber Articles 8 and 12.</w:t>
      </w:r>
    </w:p>
    <w:p w14:paraId="35EE55D0" w14:textId="635173D4"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2006.07.05: Issued via official letter Asia-Mi-Zi No. 9503202.</w:t>
      </w:r>
    </w:p>
    <w:p w14:paraId="3BCAE2CE" w14:textId="46D57CA2"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2008.05.09: Articles 3, 4, 5, and 6 amended and approved at the Academic Affairs Meeting of Academic Year 2007.</w:t>
      </w:r>
    </w:p>
    <w:p w14:paraId="4F3EF6E0" w14:textId="071B2CEB"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2008.07.23: Articles 3, 4, 5, and 6 amended and approved at the 3rd University Affairs Meeting of Academic Year 2007.</w:t>
      </w:r>
    </w:p>
    <w:p w14:paraId="1C629A58" w14:textId="3896F396"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2009.04.08: Article 5 amended and approved at the 3rd University Affairs Meeting of Academic Year 2008.</w:t>
      </w:r>
    </w:p>
    <w:p w14:paraId="4A7058C1" w14:textId="120B8E86"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2009.04.17: Issued via official letter Asia-Mi-Zi No. 0980003285.</w:t>
      </w:r>
    </w:p>
    <w:p w14:paraId="35E6210A" w14:textId="606753AA"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2010.06.11: Articles 3 and 4 amended and approved at the 5th University Affairs Meeting of Academic Year 2009.</w:t>
      </w:r>
    </w:p>
    <w:p w14:paraId="67CBEF4D" w14:textId="7701884E"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2010.07.01: Issued via official letter Asia-Mi-Zi No. 0990006624.</w:t>
      </w:r>
    </w:p>
    <w:p w14:paraId="719C179C" w14:textId="10D71997"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2011.04.15: Articles 3 and 4 amended and approved at the 3rd University Affairs Meeting of Academic Year 2010.</w:t>
      </w:r>
    </w:p>
    <w:p w14:paraId="77119369" w14:textId="26FD7612"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2011.04.26: Issued via official letter Asia-Mi-Zi No. 1000005089.</w:t>
      </w:r>
    </w:p>
    <w:p w14:paraId="5D2D2ED6" w14:textId="64A75D90"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2015.04.22: Articles 2, 4, and 7 amended and approved at the 3rd University Affairs Meeting of Academic Year 2014.</w:t>
      </w:r>
    </w:p>
    <w:p w14:paraId="7E017D8D" w14:textId="03BD5307"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2015.05.06: Issued via official letter Asia-Mi-Zi No. 1040005869.</w:t>
      </w:r>
    </w:p>
    <w:p w14:paraId="532805FB" w14:textId="1126F4BC"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2023.02.22: Article 9 added; Articles 1, 3, 5, 6, and 8 amended; original Article 9 deleted — approved at the 3rd University Affairs Meeting of Academic Year 2022.</w:t>
      </w:r>
    </w:p>
    <w:p w14:paraId="0D54A6E5" w14:textId="1E8784D3"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2023.03.20: Issued via official letter Asia-Mi-Zi No. 1120003746.</w:t>
      </w:r>
    </w:p>
    <w:p w14:paraId="474FCADA" w14:textId="4FFF52CA"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2024.06.12: Article 8 added; Articles 3, 4, and 5 amended; Articles 8 to 12 renumbered — approved at the 4th University Affairs Meeting of Academic Year 2023.</w:t>
      </w:r>
    </w:p>
    <w:p w14:paraId="57A17B80" w14:textId="1117FBCF" w:rsidR="003428B0" w:rsidRPr="003428B0" w:rsidRDefault="003428B0" w:rsidP="003428B0">
      <w:pPr>
        <w:widowControl/>
        <w:jc w:val="right"/>
        <w:rPr>
          <w:rFonts w:ascii="新細明體" w:eastAsia="新細明體" w:hAnsi="新細明體" w:cs="新細明體" w:hint="eastAsia"/>
          <w:kern w:val="0"/>
          <w:szCs w:val="24"/>
        </w:rPr>
      </w:pPr>
      <w:r w:rsidRPr="003428B0">
        <w:rPr>
          <w:rFonts w:ascii="新細明體" w:eastAsia="新細明體" w:hAnsi="新細明體" w:cs="新細明體"/>
          <w:kern w:val="0"/>
          <w:szCs w:val="24"/>
        </w:rPr>
        <w:t>2024.06.25: Issued via official letter Asia-Mi-Zi No. 1130010219.</w:t>
      </w:r>
    </w:p>
    <w:p w14:paraId="690BCEA4" w14:textId="77777777" w:rsidR="003428B0" w:rsidRPr="003428B0" w:rsidRDefault="003428B0" w:rsidP="003428B0">
      <w:pPr>
        <w:widowControl/>
        <w:jc w:val="right"/>
        <w:rPr>
          <w:rFonts w:ascii="新細明體" w:eastAsia="新細明體" w:hAnsi="新細明體" w:cs="新細明體"/>
          <w:kern w:val="0"/>
          <w:szCs w:val="24"/>
        </w:rPr>
      </w:pPr>
      <w:r w:rsidRPr="003428B0">
        <w:rPr>
          <w:rFonts w:ascii="新細明體" w:eastAsia="新細明體" w:hAnsi="新細明體" w:cs="新細明體"/>
          <w:kern w:val="0"/>
          <w:szCs w:val="24"/>
        </w:rPr>
        <w:t>2025.04.23: Article 8 deleted; Articles 9 to 13 renumbered — approved at the 3rd University Affairs Meeting of Academic Year 2024.</w:t>
      </w:r>
    </w:p>
    <w:p w14:paraId="2E96036F" w14:textId="6AD65F2D" w:rsidR="00E900F2" w:rsidRPr="00E900F2" w:rsidRDefault="003428B0" w:rsidP="003428B0">
      <w:pPr>
        <w:widowControl/>
        <w:jc w:val="right"/>
        <w:rPr>
          <w:rFonts w:ascii="新細明體" w:eastAsia="新細明體" w:hAnsi="新細明體" w:cs="新細明體"/>
          <w:kern w:val="0"/>
          <w:szCs w:val="24"/>
        </w:rPr>
      </w:pPr>
      <w:r w:rsidRPr="003428B0">
        <w:rPr>
          <w:rFonts w:ascii="新細明體" w:eastAsia="新細明體" w:hAnsi="新細明體" w:cs="新細明體"/>
          <w:kern w:val="0"/>
          <w:szCs w:val="24"/>
        </w:rPr>
        <w:t>2025.05.20: Issued via official letter Asia-Mi-Zi No. 1140008359.</w:t>
      </w:r>
      <w:r w:rsidR="00000000">
        <w:rPr>
          <w:rFonts w:ascii="新細明體" w:eastAsia="新細明體" w:hAnsi="新細明體" w:cs="新細明體"/>
          <w:kern w:val="0"/>
          <w:szCs w:val="24"/>
        </w:rPr>
        <w:pict w14:anchorId="2FEC2257">
          <v:rect id="_x0000_i1033" style="width:0;height:1.5pt" o:hralign="center" o:hrstd="t" o:hr="t" fillcolor="#a0a0a0" stroked="f"/>
        </w:pict>
      </w:r>
    </w:p>
    <w:p w14:paraId="4EC98468"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lastRenderedPageBreak/>
        <w:t>Article 1</w:t>
      </w:r>
      <w:r w:rsidRPr="003428B0">
        <w:rPr>
          <w:rFonts w:ascii="新細明體" w:eastAsia="新細明體" w:hAnsi="新細明體" w:cs="新細明體"/>
          <w:kern w:val="0"/>
          <w:szCs w:val="24"/>
        </w:rPr>
        <w:br/>
        <w:t>In order to ensure sound curriculum planning and to ensure that the curriculum framework and content of each college, department (institute, program), and center reflect the unique characteristics of each college, the founding purposes and educational objectives of the departments (institutes, programs), as well as the fundamental and core competencies students are expected to acquire—to meet market demands and societal development—these regulations are hereby established in accordance with the relevant provisions of the University Act Enforcement Rules.</w:t>
      </w:r>
    </w:p>
    <w:p w14:paraId="23E96113"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2</w:t>
      </w:r>
      <w:r w:rsidRPr="003428B0">
        <w:rPr>
          <w:rFonts w:ascii="新細明體" w:eastAsia="新細明體" w:hAnsi="新細明體" w:cs="新細明體"/>
          <w:kern w:val="0"/>
          <w:szCs w:val="24"/>
        </w:rPr>
        <w:br/>
        <w:t>The University and each of its colleges, departments (institutes, programs), the General Education Center, or other teaching units shall establish the following curriculum committees respectively: “University Curriculum Committee,” “College Curriculum Committee,” “Department (Institute, Program) Curriculum Committee,” “General Education Center Curriculum Committee,” and curriculum committees of other relevant teaching units. These committees are responsible for curriculum planning at each corresponding level.</w:t>
      </w:r>
    </w:p>
    <w:p w14:paraId="4B3DE0D5"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3</w:t>
      </w:r>
      <w:r w:rsidRPr="003428B0">
        <w:rPr>
          <w:rFonts w:ascii="新細明體" w:eastAsia="新細明體" w:hAnsi="新細明體" w:cs="新細明體"/>
          <w:kern w:val="0"/>
          <w:szCs w:val="24"/>
        </w:rPr>
        <w:br/>
        <w:t>Each Department (Institute, Program) Curriculum Committee (hereinafter referred to as the Departmental Curriculum Committee) shall have one Chair, concurrently served by the Department (Institute, Program) Director. The committee shall consist of three to seven full-time faculty members at the rank of Assistant Professor or above, and two to three student representatives. The responsibilities of the committee are as follows:</w:t>
      </w:r>
    </w:p>
    <w:p w14:paraId="1FE7176F" w14:textId="77777777" w:rsidR="003428B0" w:rsidRPr="003428B0" w:rsidRDefault="003428B0" w:rsidP="003428B0">
      <w:pPr>
        <w:numPr>
          <w:ilvl w:val="0"/>
          <w:numId w:val="4"/>
        </w:numPr>
        <w:rPr>
          <w:rFonts w:ascii="新細明體" w:eastAsia="新細明體" w:hAnsi="新細明體" w:cs="新細明體"/>
          <w:kern w:val="0"/>
          <w:szCs w:val="24"/>
        </w:rPr>
      </w:pPr>
      <w:r w:rsidRPr="003428B0">
        <w:rPr>
          <w:rFonts w:ascii="新細明體" w:eastAsia="新細明體" w:hAnsi="新細明體" w:cs="新細明體"/>
          <w:kern w:val="0"/>
          <w:szCs w:val="24"/>
        </w:rPr>
        <w:t>Plan the curriculum and set graduation requirements based on the department’s core competencies.</w:t>
      </w:r>
    </w:p>
    <w:p w14:paraId="7F7ABECF" w14:textId="77777777" w:rsidR="003428B0" w:rsidRPr="003428B0" w:rsidRDefault="003428B0" w:rsidP="003428B0">
      <w:pPr>
        <w:numPr>
          <w:ilvl w:val="0"/>
          <w:numId w:val="4"/>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and approve required and elective courses for the department (institute, program).</w:t>
      </w:r>
    </w:p>
    <w:p w14:paraId="22F701F6" w14:textId="77777777" w:rsidR="003428B0" w:rsidRPr="003428B0" w:rsidRDefault="003428B0" w:rsidP="003428B0">
      <w:pPr>
        <w:numPr>
          <w:ilvl w:val="0"/>
          <w:numId w:val="4"/>
        </w:numPr>
        <w:rPr>
          <w:rFonts w:ascii="新細明體" w:eastAsia="新細明體" w:hAnsi="新細明體" w:cs="新細明體"/>
          <w:kern w:val="0"/>
          <w:szCs w:val="24"/>
        </w:rPr>
      </w:pPr>
      <w:r w:rsidRPr="003428B0">
        <w:rPr>
          <w:rFonts w:ascii="新細明體" w:eastAsia="新細明體" w:hAnsi="新細明體" w:cs="新細明體"/>
          <w:kern w:val="0"/>
          <w:szCs w:val="24"/>
        </w:rPr>
        <w:t>Coordinate shared curriculum matters with other teaching units.</w:t>
      </w:r>
    </w:p>
    <w:p w14:paraId="79131075" w14:textId="77777777" w:rsidR="003428B0" w:rsidRPr="003428B0" w:rsidRDefault="003428B0" w:rsidP="003428B0">
      <w:pPr>
        <w:numPr>
          <w:ilvl w:val="0"/>
          <w:numId w:val="4"/>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and discuss matters related to teaching quality improvement.</w:t>
      </w:r>
    </w:p>
    <w:p w14:paraId="6B6B4D64" w14:textId="77777777" w:rsidR="003428B0" w:rsidRPr="003428B0" w:rsidRDefault="003428B0" w:rsidP="003428B0">
      <w:pPr>
        <w:numPr>
          <w:ilvl w:val="0"/>
          <w:numId w:val="4"/>
        </w:numPr>
        <w:rPr>
          <w:rFonts w:ascii="新細明體" w:eastAsia="新細明體" w:hAnsi="新細明體" w:cs="新細明體"/>
          <w:kern w:val="0"/>
          <w:szCs w:val="24"/>
        </w:rPr>
      </w:pPr>
      <w:r w:rsidRPr="003428B0">
        <w:rPr>
          <w:rFonts w:ascii="新細明體" w:eastAsia="新細明體" w:hAnsi="新細明體" w:cs="新細明體"/>
          <w:kern w:val="0"/>
          <w:szCs w:val="24"/>
        </w:rPr>
        <w:t>Evaluate whether the courses offered align with faculty expertise.</w:t>
      </w:r>
    </w:p>
    <w:p w14:paraId="0E84DCF5" w14:textId="77777777" w:rsidR="003428B0" w:rsidRPr="003428B0" w:rsidRDefault="003428B0" w:rsidP="003428B0">
      <w:pPr>
        <w:numPr>
          <w:ilvl w:val="0"/>
          <w:numId w:val="4"/>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whether the course syllabi align with the department’s educational objectives.</w:t>
      </w:r>
    </w:p>
    <w:p w14:paraId="1A1D5E93" w14:textId="77777777" w:rsidR="003428B0" w:rsidRPr="003428B0" w:rsidRDefault="003428B0" w:rsidP="003428B0">
      <w:pPr>
        <w:numPr>
          <w:ilvl w:val="0"/>
          <w:numId w:val="4"/>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matters related to course credit transfers in accordance with university regulations.</w:t>
      </w:r>
    </w:p>
    <w:p w14:paraId="73C1F063" w14:textId="77777777" w:rsidR="003428B0" w:rsidRPr="003428B0" w:rsidRDefault="003428B0" w:rsidP="003428B0">
      <w:pPr>
        <w:numPr>
          <w:ilvl w:val="0"/>
          <w:numId w:val="4"/>
        </w:numPr>
        <w:rPr>
          <w:rFonts w:ascii="新細明體" w:eastAsia="新細明體" w:hAnsi="新細明體" w:cs="新細明體"/>
          <w:kern w:val="0"/>
          <w:szCs w:val="24"/>
        </w:rPr>
      </w:pPr>
      <w:r w:rsidRPr="003428B0">
        <w:rPr>
          <w:rFonts w:ascii="新細明體" w:eastAsia="新細明體" w:hAnsi="新細明體" w:cs="新細明體"/>
          <w:kern w:val="0"/>
          <w:szCs w:val="24"/>
        </w:rPr>
        <w:t>Handle other matters related to curriculum coordination, integration, and improvement.</w:t>
      </w:r>
    </w:p>
    <w:p w14:paraId="722FEEA3"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 xml:space="preserve">Curriculum planning for each department (institute, program) shall be based on its founding purpose and educational objectives. Before each meeting, the committee shall collect related information from other universities and gather feedback from faculty, </w:t>
      </w:r>
      <w:r w:rsidRPr="003428B0">
        <w:rPr>
          <w:rFonts w:ascii="新細明體" w:eastAsia="新細明體" w:hAnsi="新細明體" w:cs="新細明體"/>
          <w:kern w:val="0"/>
          <w:szCs w:val="24"/>
        </w:rPr>
        <w:lastRenderedPageBreak/>
        <w:t>students, graduates, and employers as a reference for curriculum planning (refer to Attachment 1: Proposal Review Form).</w:t>
      </w:r>
    </w:p>
    <w:p w14:paraId="33E2D9FA"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4</w:t>
      </w:r>
      <w:r w:rsidRPr="003428B0">
        <w:rPr>
          <w:rFonts w:ascii="新細明體" w:eastAsia="新細明體" w:hAnsi="新細明體" w:cs="新細明體"/>
          <w:kern w:val="0"/>
          <w:szCs w:val="24"/>
        </w:rPr>
        <w:br/>
        <w:t>Each College, General Education Center, and other teaching unit’s Curriculum Committee (hereinafter referred to as the College-level Curriculum Committee) shall have one Chair, concurrently served by the Dean, the Director of the General Education Center, or the head of the respective teaching unit. The committee shall include each department (institute, program) Director, one full-time faculty member (Assistant Professor or above) from each department, and two student representatives recommended by the Student Association. The responsibilities are as follows:</w:t>
      </w:r>
    </w:p>
    <w:p w14:paraId="20D121EA" w14:textId="77777777" w:rsidR="003428B0" w:rsidRPr="003428B0" w:rsidRDefault="003428B0" w:rsidP="003428B0">
      <w:pPr>
        <w:numPr>
          <w:ilvl w:val="0"/>
          <w:numId w:val="5"/>
        </w:numPr>
        <w:rPr>
          <w:rFonts w:ascii="新細明體" w:eastAsia="新細明體" w:hAnsi="新細明體" w:cs="新細明體"/>
          <w:kern w:val="0"/>
          <w:szCs w:val="24"/>
        </w:rPr>
      </w:pPr>
      <w:r w:rsidRPr="003428B0">
        <w:rPr>
          <w:rFonts w:ascii="新細明體" w:eastAsia="新細明體" w:hAnsi="新細明體" w:cs="新細明體"/>
          <w:kern w:val="0"/>
          <w:szCs w:val="24"/>
        </w:rPr>
        <w:t xml:space="preserve">Plan the curriculum and set graduation requirements based on the </w:t>
      </w:r>
      <w:proofErr w:type="gramStart"/>
      <w:r w:rsidRPr="003428B0">
        <w:rPr>
          <w:rFonts w:ascii="新細明體" w:eastAsia="新細明體" w:hAnsi="新細明體" w:cs="新細明體"/>
          <w:kern w:val="0"/>
          <w:szCs w:val="24"/>
        </w:rPr>
        <w:t>college’s</w:t>
      </w:r>
      <w:proofErr w:type="gramEnd"/>
      <w:r w:rsidRPr="003428B0">
        <w:rPr>
          <w:rFonts w:ascii="新細明體" w:eastAsia="新細明體" w:hAnsi="新細明體" w:cs="新細明體"/>
          <w:kern w:val="0"/>
          <w:szCs w:val="24"/>
        </w:rPr>
        <w:t xml:space="preserve"> and university’s core competencies.</w:t>
      </w:r>
    </w:p>
    <w:p w14:paraId="120EDC89" w14:textId="77777777" w:rsidR="003428B0" w:rsidRPr="003428B0" w:rsidRDefault="003428B0" w:rsidP="003428B0">
      <w:pPr>
        <w:numPr>
          <w:ilvl w:val="0"/>
          <w:numId w:val="5"/>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and approve the foundational curriculum of the college, the curricula of affiliated departments (institutes, programs), general education courses, and courses offered by other teaching units; coordinate with other colleges or units for shared curriculum matters.</w:t>
      </w:r>
    </w:p>
    <w:p w14:paraId="5F2F3508" w14:textId="77777777" w:rsidR="003428B0" w:rsidRPr="003428B0" w:rsidRDefault="003428B0" w:rsidP="003428B0">
      <w:pPr>
        <w:numPr>
          <w:ilvl w:val="0"/>
          <w:numId w:val="5"/>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and discuss matters related to teaching quality improvement of affiliated departments (institutes, programs) and centers.</w:t>
      </w:r>
    </w:p>
    <w:p w14:paraId="311255C4" w14:textId="77777777" w:rsidR="003428B0" w:rsidRPr="003428B0" w:rsidRDefault="003428B0" w:rsidP="003428B0">
      <w:pPr>
        <w:numPr>
          <w:ilvl w:val="0"/>
          <w:numId w:val="5"/>
        </w:numPr>
        <w:rPr>
          <w:rFonts w:ascii="新細明體" w:eastAsia="新細明體" w:hAnsi="新細明體" w:cs="新細明體"/>
          <w:kern w:val="0"/>
          <w:szCs w:val="24"/>
        </w:rPr>
      </w:pPr>
      <w:r w:rsidRPr="003428B0">
        <w:rPr>
          <w:rFonts w:ascii="新細明體" w:eastAsia="新細明體" w:hAnsi="新細明體" w:cs="新細明體"/>
          <w:kern w:val="0"/>
          <w:szCs w:val="24"/>
        </w:rPr>
        <w:t>Reevaluate whether faculty expertise aligns with the courses offered by the affiliated departments or centers.</w:t>
      </w:r>
    </w:p>
    <w:p w14:paraId="2770FC39" w14:textId="77777777" w:rsidR="003428B0" w:rsidRPr="003428B0" w:rsidRDefault="003428B0" w:rsidP="003428B0">
      <w:pPr>
        <w:numPr>
          <w:ilvl w:val="0"/>
          <w:numId w:val="5"/>
        </w:numPr>
        <w:rPr>
          <w:rFonts w:ascii="新細明體" w:eastAsia="新細明體" w:hAnsi="新細明體" w:cs="新細明體"/>
          <w:kern w:val="0"/>
          <w:szCs w:val="24"/>
        </w:rPr>
      </w:pPr>
      <w:r w:rsidRPr="003428B0">
        <w:rPr>
          <w:rFonts w:ascii="新細明體" w:eastAsia="新細明體" w:hAnsi="新細明體" w:cs="新細明體"/>
          <w:kern w:val="0"/>
          <w:szCs w:val="24"/>
        </w:rPr>
        <w:t>Reevaluate whether course syllabi content aligns with the educational objectives of the affiliated departments (institutes, programs) or centers.</w:t>
      </w:r>
    </w:p>
    <w:p w14:paraId="3488DD24" w14:textId="77777777" w:rsidR="003428B0" w:rsidRPr="003428B0" w:rsidRDefault="003428B0" w:rsidP="003428B0">
      <w:pPr>
        <w:numPr>
          <w:ilvl w:val="0"/>
          <w:numId w:val="5"/>
        </w:numPr>
        <w:rPr>
          <w:rFonts w:ascii="新細明體" w:eastAsia="新細明體" w:hAnsi="新細明體" w:cs="新細明體"/>
          <w:kern w:val="0"/>
          <w:szCs w:val="24"/>
        </w:rPr>
      </w:pPr>
      <w:r w:rsidRPr="003428B0">
        <w:rPr>
          <w:rFonts w:ascii="新細明體" w:eastAsia="新細明體" w:hAnsi="新細明體" w:cs="新細明體"/>
          <w:kern w:val="0"/>
          <w:szCs w:val="24"/>
        </w:rPr>
        <w:t>Reevaluate credit transfer matters of the affiliated departments (institutes, programs) or centers in accordance with university regulations.</w:t>
      </w:r>
    </w:p>
    <w:p w14:paraId="01987E08" w14:textId="77777777" w:rsidR="003428B0" w:rsidRPr="003428B0" w:rsidRDefault="003428B0" w:rsidP="003428B0">
      <w:pPr>
        <w:numPr>
          <w:ilvl w:val="0"/>
          <w:numId w:val="5"/>
        </w:numPr>
        <w:rPr>
          <w:rFonts w:ascii="新細明體" w:eastAsia="新細明體" w:hAnsi="新細明體" w:cs="新細明體"/>
          <w:kern w:val="0"/>
          <w:szCs w:val="24"/>
        </w:rPr>
      </w:pPr>
      <w:r w:rsidRPr="003428B0">
        <w:rPr>
          <w:rFonts w:ascii="新細明體" w:eastAsia="新細明體" w:hAnsi="新細明體" w:cs="新細明體"/>
          <w:kern w:val="0"/>
          <w:szCs w:val="24"/>
        </w:rPr>
        <w:t>Handle other matters related to curriculum coordination, integration, and improvement.</w:t>
      </w:r>
    </w:p>
    <w:p w14:paraId="5227A51D"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The curriculum planning mentioned in Item 2 shall reflect market demands, societal development, and the characteristics of each college (refer to Attachment 2: Proposal Review Form).</w:t>
      </w:r>
    </w:p>
    <w:p w14:paraId="55F629D1"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5</w:t>
      </w:r>
      <w:r w:rsidRPr="003428B0">
        <w:rPr>
          <w:rFonts w:ascii="新細明體" w:eastAsia="新細明體" w:hAnsi="新細明體" w:cs="新細明體"/>
          <w:kern w:val="0"/>
          <w:szCs w:val="24"/>
        </w:rPr>
        <w:br/>
        <w:t>Departmental and college-level curriculum committee meetings shall include student representatives and may, as necessary, invite experienced scholars from other institutions, industry representatives, and alumni to participate. Relevant university personnel may also be invited to attend.</w:t>
      </w:r>
    </w:p>
    <w:p w14:paraId="5FAF2BE3"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6</w:t>
      </w:r>
      <w:r w:rsidRPr="003428B0">
        <w:rPr>
          <w:rFonts w:ascii="新細明體" w:eastAsia="新細明體" w:hAnsi="新細明體" w:cs="新細明體"/>
          <w:kern w:val="0"/>
          <w:szCs w:val="24"/>
        </w:rPr>
        <w:br/>
        <w:t xml:space="preserve">The University Curriculum Committee shall have one Chair, concurrently served by the Dean of Academic Affairs, and one Secretary, concurrently served by the Head of the Curriculum Division, responsible for administrative operations. Committee members shall </w:t>
      </w:r>
      <w:r w:rsidRPr="003428B0">
        <w:rPr>
          <w:rFonts w:ascii="新細明體" w:eastAsia="新細明體" w:hAnsi="新細明體" w:cs="新細明體"/>
          <w:kern w:val="0"/>
          <w:szCs w:val="24"/>
        </w:rPr>
        <w:lastRenderedPageBreak/>
        <w:t>include the deans of each college, the Director of the General Education Center, student representatives, and invited alumni, external experts, scholars, and industry representatives. The responsibilities of the committee are as follows:</w:t>
      </w:r>
    </w:p>
    <w:p w14:paraId="5E33920F" w14:textId="77777777" w:rsidR="003428B0" w:rsidRPr="003428B0" w:rsidRDefault="003428B0" w:rsidP="003428B0">
      <w:pPr>
        <w:numPr>
          <w:ilvl w:val="0"/>
          <w:numId w:val="6"/>
        </w:numPr>
        <w:rPr>
          <w:rFonts w:ascii="新細明體" w:eastAsia="新細明體" w:hAnsi="新細明體" w:cs="新細明體"/>
          <w:kern w:val="0"/>
          <w:szCs w:val="24"/>
        </w:rPr>
      </w:pPr>
      <w:r w:rsidRPr="003428B0">
        <w:rPr>
          <w:rFonts w:ascii="新細明體" w:eastAsia="新細明體" w:hAnsi="新細明體" w:cs="新細明體"/>
          <w:kern w:val="0"/>
          <w:szCs w:val="24"/>
        </w:rPr>
        <w:t>Develop curriculum directions and principles based on the university’s educational objectives and development plan.</w:t>
      </w:r>
    </w:p>
    <w:p w14:paraId="7B77272E" w14:textId="77777777" w:rsidR="003428B0" w:rsidRPr="003428B0" w:rsidRDefault="003428B0" w:rsidP="003428B0">
      <w:pPr>
        <w:numPr>
          <w:ilvl w:val="0"/>
          <w:numId w:val="6"/>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and approve university-mandated foundational education and general education category courses.</w:t>
      </w:r>
    </w:p>
    <w:p w14:paraId="252718D5" w14:textId="77777777" w:rsidR="003428B0" w:rsidRPr="003428B0" w:rsidRDefault="003428B0" w:rsidP="003428B0">
      <w:pPr>
        <w:numPr>
          <w:ilvl w:val="0"/>
          <w:numId w:val="6"/>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and approve the field-specific courses and specialized programs of each college, department (institute, program), and the allocation of course offerings.</w:t>
      </w:r>
    </w:p>
    <w:p w14:paraId="67F06670" w14:textId="77777777" w:rsidR="003428B0" w:rsidRPr="003428B0" w:rsidRDefault="003428B0" w:rsidP="003428B0">
      <w:pPr>
        <w:numPr>
          <w:ilvl w:val="0"/>
          <w:numId w:val="6"/>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and revise, if necessary, already-approved and implemented curriculum plans due to special circumstances.</w:t>
      </w:r>
    </w:p>
    <w:p w14:paraId="0C96C656" w14:textId="77777777" w:rsidR="003428B0" w:rsidRPr="003428B0" w:rsidRDefault="003428B0" w:rsidP="003428B0">
      <w:pPr>
        <w:numPr>
          <w:ilvl w:val="0"/>
          <w:numId w:val="6"/>
        </w:numPr>
        <w:rPr>
          <w:rFonts w:ascii="新細明體" w:eastAsia="新細明體" w:hAnsi="新細明體" w:cs="新細明體"/>
          <w:kern w:val="0"/>
          <w:szCs w:val="24"/>
        </w:rPr>
      </w:pPr>
      <w:r w:rsidRPr="003428B0">
        <w:rPr>
          <w:rFonts w:ascii="新細明體" w:eastAsia="新細明體" w:hAnsi="新細明體" w:cs="新細明體"/>
          <w:kern w:val="0"/>
          <w:szCs w:val="24"/>
        </w:rPr>
        <w:t>Review and study other matters related to curriculum and teaching quality improvement.</w:t>
      </w:r>
    </w:p>
    <w:p w14:paraId="0F437716"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7</w:t>
      </w:r>
      <w:r w:rsidRPr="003428B0">
        <w:rPr>
          <w:rFonts w:ascii="新細明體" w:eastAsia="新細明體" w:hAnsi="新細明體" w:cs="新細明體"/>
          <w:kern w:val="0"/>
          <w:szCs w:val="24"/>
        </w:rPr>
        <w:br/>
        <w:t>Matters related to curriculum decided by the General Education Center or equivalent college-level teaching units shall be directly submitted to the University Curriculum Committee for review.</w:t>
      </w:r>
    </w:p>
    <w:p w14:paraId="2A3C300E"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8</w:t>
      </w:r>
      <w:r w:rsidRPr="003428B0">
        <w:rPr>
          <w:rFonts w:ascii="新細明體" w:eastAsia="新細明體" w:hAnsi="新細明體" w:cs="新細明體"/>
          <w:kern w:val="0"/>
          <w:szCs w:val="24"/>
        </w:rPr>
        <w:br/>
        <w:t>All curriculum committees at each level shall convene at least once per semester. Departmental curriculum committees shall convene before the 6th week of each semester and submit meeting documents to the college-level curriculum committee. College-level curriculum committees shall meet before the 8th week and submit materials to the University Curriculum Committee. The University Curriculum Committee shall complete its review before the 11th week. Emergency meetings may be held when necessary.</w:t>
      </w:r>
    </w:p>
    <w:p w14:paraId="620C513D"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9</w:t>
      </w:r>
      <w:r w:rsidRPr="003428B0">
        <w:rPr>
          <w:rFonts w:ascii="新細明體" w:eastAsia="新細明體" w:hAnsi="新細明體" w:cs="新細明體"/>
          <w:kern w:val="0"/>
          <w:szCs w:val="24"/>
        </w:rPr>
        <w:br/>
        <w:t>All levels of curriculum committee meetings shall require attendance by more than half of the committee members to proceed. Resolutions shall be passed by a majority vote of the attending members.</w:t>
      </w:r>
    </w:p>
    <w:p w14:paraId="0D958E4B"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10</w:t>
      </w:r>
      <w:r w:rsidRPr="003428B0">
        <w:rPr>
          <w:rFonts w:ascii="新細明體" w:eastAsia="新細明體" w:hAnsi="新細明體" w:cs="新細明體"/>
          <w:kern w:val="0"/>
          <w:szCs w:val="24"/>
        </w:rPr>
        <w:br/>
        <w:t>External scholars and industry representatives invited to attend curriculum committee meetings may be provided with honoraria and transportation allowances. Scholars invited for pre-meeting written reviews of curriculum proposals for the University Curriculum Committee shall receive a review fee. Standards for these payments shall be separately approved by the Office of Academic Affairs.</w:t>
      </w:r>
    </w:p>
    <w:p w14:paraId="3D8093C3"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11</w:t>
      </w:r>
      <w:r w:rsidRPr="003428B0">
        <w:rPr>
          <w:rFonts w:ascii="新細明體" w:eastAsia="新細明體" w:hAnsi="新細明體" w:cs="新細明體"/>
          <w:kern w:val="0"/>
          <w:szCs w:val="24"/>
        </w:rPr>
        <w:br/>
        <w:t>Any matters not covered in these Regulations shall be handled in accordance with relevant regulations of the Ministry of Education and the University.</w:t>
      </w:r>
    </w:p>
    <w:p w14:paraId="08B16261" w14:textId="77777777" w:rsidR="003428B0" w:rsidRPr="003428B0" w:rsidRDefault="003428B0" w:rsidP="003428B0">
      <w:pPr>
        <w:rPr>
          <w:rFonts w:ascii="新細明體" w:eastAsia="新細明體" w:hAnsi="新細明體" w:cs="新細明體"/>
          <w:kern w:val="0"/>
          <w:szCs w:val="24"/>
        </w:rPr>
      </w:pPr>
      <w:r w:rsidRPr="003428B0">
        <w:rPr>
          <w:rFonts w:ascii="新細明體" w:eastAsia="新細明體" w:hAnsi="新細明體" w:cs="新細明體"/>
          <w:kern w:val="0"/>
          <w:szCs w:val="24"/>
        </w:rPr>
        <w:t>Article 12</w:t>
      </w:r>
      <w:r w:rsidRPr="003428B0">
        <w:rPr>
          <w:rFonts w:ascii="新細明體" w:eastAsia="新細明體" w:hAnsi="新細明體" w:cs="新細明體"/>
          <w:kern w:val="0"/>
          <w:szCs w:val="24"/>
        </w:rPr>
        <w:br/>
      </w:r>
      <w:r w:rsidRPr="003428B0">
        <w:rPr>
          <w:rFonts w:ascii="新細明體" w:eastAsia="新細明體" w:hAnsi="新細明體" w:cs="新細明體"/>
          <w:kern w:val="0"/>
          <w:szCs w:val="24"/>
        </w:rPr>
        <w:lastRenderedPageBreak/>
        <w:t>These Regulations shall be promulgated and implemented after approval by the University Affairs Meeting and the President. Any amendments shall follow the same procedure.</w:t>
      </w:r>
    </w:p>
    <w:p w14:paraId="0CDD4C7A" w14:textId="77777777" w:rsidR="00BA012A" w:rsidRPr="003428B0" w:rsidRDefault="00BA012A"/>
    <w:sectPr w:rsidR="00BA012A" w:rsidRPr="003428B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E687E" w14:textId="77777777" w:rsidR="00F14BFA" w:rsidRDefault="00F14BFA" w:rsidP="00E900F2">
      <w:r>
        <w:separator/>
      </w:r>
    </w:p>
  </w:endnote>
  <w:endnote w:type="continuationSeparator" w:id="0">
    <w:p w14:paraId="4A26B5B6" w14:textId="77777777" w:rsidR="00F14BFA" w:rsidRDefault="00F14BFA" w:rsidP="00E90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8C932" w14:textId="77777777" w:rsidR="00F14BFA" w:rsidRDefault="00F14BFA" w:rsidP="00E900F2">
      <w:r>
        <w:separator/>
      </w:r>
    </w:p>
  </w:footnote>
  <w:footnote w:type="continuationSeparator" w:id="0">
    <w:p w14:paraId="3EAB2E1A" w14:textId="77777777" w:rsidR="00F14BFA" w:rsidRDefault="00F14BFA" w:rsidP="00E900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614A"/>
    <w:multiLevelType w:val="multilevel"/>
    <w:tmpl w:val="435EF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5B0CDD"/>
    <w:multiLevelType w:val="multilevel"/>
    <w:tmpl w:val="3EF23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8C1CC0"/>
    <w:multiLevelType w:val="multilevel"/>
    <w:tmpl w:val="76588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4724C1"/>
    <w:multiLevelType w:val="multilevel"/>
    <w:tmpl w:val="816C8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253B42"/>
    <w:multiLevelType w:val="multilevel"/>
    <w:tmpl w:val="39D28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21711E"/>
    <w:multiLevelType w:val="multilevel"/>
    <w:tmpl w:val="9920E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5992797">
    <w:abstractNumId w:val="5"/>
  </w:num>
  <w:num w:numId="2" w16cid:durableId="376006261">
    <w:abstractNumId w:val="0"/>
  </w:num>
  <w:num w:numId="3" w16cid:durableId="383793439">
    <w:abstractNumId w:val="4"/>
  </w:num>
  <w:num w:numId="4" w16cid:durableId="750854491">
    <w:abstractNumId w:val="2"/>
  </w:num>
  <w:num w:numId="5" w16cid:durableId="99640768">
    <w:abstractNumId w:val="3"/>
  </w:num>
  <w:num w:numId="6" w16cid:durableId="1968780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8A"/>
    <w:rsid w:val="001F5935"/>
    <w:rsid w:val="003428B0"/>
    <w:rsid w:val="00A201F6"/>
    <w:rsid w:val="00AE522F"/>
    <w:rsid w:val="00BA012A"/>
    <w:rsid w:val="00CB3F8A"/>
    <w:rsid w:val="00CE6867"/>
    <w:rsid w:val="00E900F2"/>
    <w:rsid w:val="00F14B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D1DFA"/>
  <w15:chartTrackingRefBased/>
  <w15:docId w15:val="{1B5F5E22-81B6-41AB-80EB-C213EFD0B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
    <w:name w:val="heading 3"/>
    <w:basedOn w:val="a"/>
    <w:link w:val="30"/>
    <w:uiPriority w:val="9"/>
    <w:qFormat/>
    <w:rsid w:val="00E900F2"/>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00F2"/>
    <w:pPr>
      <w:tabs>
        <w:tab w:val="center" w:pos="4153"/>
        <w:tab w:val="right" w:pos="8306"/>
      </w:tabs>
      <w:snapToGrid w:val="0"/>
    </w:pPr>
    <w:rPr>
      <w:sz w:val="20"/>
      <w:szCs w:val="20"/>
    </w:rPr>
  </w:style>
  <w:style w:type="character" w:customStyle="1" w:styleId="a4">
    <w:name w:val="頁首 字元"/>
    <w:basedOn w:val="a0"/>
    <w:link w:val="a3"/>
    <w:uiPriority w:val="99"/>
    <w:rsid w:val="00E900F2"/>
    <w:rPr>
      <w:sz w:val="20"/>
      <w:szCs w:val="20"/>
    </w:rPr>
  </w:style>
  <w:style w:type="paragraph" w:styleId="a5">
    <w:name w:val="footer"/>
    <w:basedOn w:val="a"/>
    <w:link w:val="a6"/>
    <w:uiPriority w:val="99"/>
    <w:unhideWhenUsed/>
    <w:rsid w:val="00E900F2"/>
    <w:pPr>
      <w:tabs>
        <w:tab w:val="center" w:pos="4153"/>
        <w:tab w:val="right" w:pos="8306"/>
      </w:tabs>
      <w:snapToGrid w:val="0"/>
    </w:pPr>
    <w:rPr>
      <w:sz w:val="20"/>
      <w:szCs w:val="20"/>
    </w:rPr>
  </w:style>
  <w:style w:type="character" w:customStyle="1" w:styleId="a6">
    <w:name w:val="頁尾 字元"/>
    <w:basedOn w:val="a0"/>
    <w:link w:val="a5"/>
    <w:uiPriority w:val="99"/>
    <w:rsid w:val="00E900F2"/>
    <w:rPr>
      <w:sz w:val="20"/>
      <w:szCs w:val="20"/>
    </w:rPr>
  </w:style>
  <w:style w:type="character" w:customStyle="1" w:styleId="30">
    <w:name w:val="標題 3 字元"/>
    <w:basedOn w:val="a0"/>
    <w:link w:val="3"/>
    <w:uiPriority w:val="9"/>
    <w:rsid w:val="00E900F2"/>
    <w:rPr>
      <w:rFonts w:ascii="新細明體" w:eastAsia="新細明體" w:hAnsi="新細明體" w:cs="新細明體"/>
      <w:b/>
      <w:bCs/>
      <w:kern w:val="0"/>
      <w:sz w:val="27"/>
      <w:szCs w:val="27"/>
    </w:rPr>
  </w:style>
  <w:style w:type="paragraph" w:styleId="Web">
    <w:name w:val="Normal (Web)"/>
    <w:basedOn w:val="a"/>
    <w:uiPriority w:val="99"/>
    <w:semiHidden/>
    <w:unhideWhenUsed/>
    <w:rsid w:val="00E900F2"/>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E900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663543">
      <w:bodyDiv w:val="1"/>
      <w:marLeft w:val="0"/>
      <w:marRight w:val="0"/>
      <w:marTop w:val="0"/>
      <w:marBottom w:val="0"/>
      <w:divBdr>
        <w:top w:val="none" w:sz="0" w:space="0" w:color="auto"/>
        <w:left w:val="none" w:sz="0" w:space="0" w:color="auto"/>
        <w:bottom w:val="none" w:sz="0" w:space="0" w:color="auto"/>
        <w:right w:val="none" w:sz="0" w:space="0" w:color="auto"/>
      </w:divBdr>
    </w:div>
    <w:div w:id="383532215">
      <w:bodyDiv w:val="1"/>
      <w:marLeft w:val="0"/>
      <w:marRight w:val="0"/>
      <w:marTop w:val="0"/>
      <w:marBottom w:val="0"/>
      <w:divBdr>
        <w:top w:val="none" w:sz="0" w:space="0" w:color="auto"/>
        <w:left w:val="none" w:sz="0" w:space="0" w:color="auto"/>
        <w:bottom w:val="none" w:sz="0" w:space="0" w:color="auto"/>
        <w:right w:val="none" w:sz="0" w:space="0" w:color="auto"/>
      </w:divBdr>
    </w:div>
    <w:div w:id="197178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1438</Words>
  <Characters>8197</Characters>
  <Application>Microsoft Office Word</Application>
  <DocSecurity>0</DocSecurity>
  <Lines>68</Lines>
  <Paragraphs>19</Paragraphs>
  <ScaleCrop>false</ScaleCrop>
  <Company>亞洲大學 Asia University</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鍾筱娟</cp:lastModifiedBy>
  <cp:revision>3</cp:revision>
  <dcterms:created xsi:type="dcterms:W3CDTF">2024-12-04T08:16:00Z</dcterms:created>
  <dcterms:modified xsi:type="dcterms:W3CDTF">2025-06-09T07:06:00Z</dcterms:modified>
</cp:coreProperties>
</file>