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15EFD3" w14:textId="77777777" w:rsidR="00FD145F" w:rsidRPr="00FD145F" w:rsidRDefault="00FD145F" w:rsidP="00FD145F">
      <w:pPr>
        <w:widowControl/>
        <w:spacing w:before="100" w:beforeAutospacing="1" w:after="100" w:afterAutospacing="1"/>
        <w:rPr>
          <w:rFonts w:ascii="Times New Roman" w:eastAsia="新細明體" w:hAnsi="Times New Roman" w:cs="Times New Roman"/>
          <w:kern w:val="0"/>
          <w:sz w:val="20"/>
          <w:szCs w:val="20"/>
        </w:rPr>
      </w:pPr>
      <w:r w:rsidRPr="00D77345">
        <w:rPr>
          <w:rFonts w:ascii="Times New Roman" w:eastAsia="新細明體" w:hAnsi="Times New Roman" w:cs="Times New Roman"/>
          <w:b/>
          <w:bCs/>
          <w:kern w:val="0"/>
          <w:szCs w:val="24"/>
        </w:rPr>
        <w:t>Implementation Guidelines for Double Majors for Students at Asia University</w:t>
      </w:r>
      <w:r w:rsidRPr="00FD145F">
        <w:rPr>
          <w:rFonts w:ascii="Times New Roman" w:eastAsia="新細明體" w:hAnsi="Times New Roman" w:cs="Times New Roman"/>
          <w:kern w:val="0"/>
          <w:szCs w:val="24"/>
        </w:rPr>
        <w:br/>
      </w:r>
      <w:r w:rsidRPr="00D77345">
        <w:rPr>
          <w:rFonts w:ascii="Times New Roman" w:eastAsia="新細明體" w:hAnsi="Times New Roman" w:cs="Times New Roman"/>
          <w:bCs/>
          <w:kern w:val="0"/>
          <w:sz w:val="20"/>
          <w:szCs w:val="20"/>
        </w:rPr>
        <w:t>(Approved at the 3rd Academic Affairs Meeting of the 92nd Academic Year on December 11, 92)</w:t>
      </w:r>
      <w:r w:rsidRPr="00FD145F">
        <w:rPr>
          <w:rFonts w:ascii="Times New Roman" w:eastAsia="新細明體" w:hAnsi="Times New Roman" w:cs="Times New Roman"/>
          <w:kern w:val="0"/>
          <w:sz w:val="20"/>
          <w:szCs w:val="20"/>
        </w:rPr>
        <w:br/>
      </w:r>
      <w:r w:rsidRPr="00D77345">
        <w:rPr>
          <w:rFonts w:ascii="Times New Roman" w:eastAsia="新細明體" w:hAnsi="Times New Roman" w:cs="Times New Roman"/>
          <w:bCs/>
          <w:kern w:val="0"/>
          <w:sz w:val="20"/>
          <w:szCs w:val="20"/>
        </w:rPr>
        <w:t>Filed for reference by the Ministry of Education (No. 0930096747) on July 29, 93</w:t>
      </w:r>
    </w:p>
    <w:p w14:paraId="569E2AD2" w14:textId="77777777" w:rsidR="00FD145F" w:rsidRPr="00FD145F" w:rsidRDefault="00FD145F" w:rsidP="00FD145F">
      <w:pPr>
        <w:widowControl/>
        <w:spacing w:before="100" w:beforeAutospacing="1" w:after="100" w:afterAutospacing="1"/>
        <w:outlineLvl w:val="2"/>
        <w:rPr>
          <w:rFonts w:ascii="Times New Roman" w:eastAsia="新細明體" w:hAnsi="Times New Roman" w:cs="Times New Roman"/>
          <w:b/>
          <w:bCs/>
          <w:kern w:val="0"/>
          <w:sz w:val="27"/>
          <w:szCs w:val="27"/>
        </w:rPr>
      </w:pPr>
      <w:r w:rsidRPr="00FD145F">
        <w:rPr>
          <w:rFonts w:ascii="Times New Roman" w:eastAsia="新細明體" w:hAnsi="Times New Roman" w:cs="Times New Roman"/>
          <w:b/>
          <w:bCs/>
          <w:kern w:val="0"/>
          <w:sz w:val="27"/>
          <w:szCs w:val="27"/>
        </w:rPr>
        <w:t>Purpose</w:t>
      </w:r>
    </w:p>
    <w:p w14:paraId="0CDDAAD6" w14:textId="77777777" w:rsidR="00FD145F" w:rsidRPr="00FD145F" w:rsidRDefault="00FD145F" w:rsidP="00FD145F">
      <w:pPr>
        <w:widowControl/>
        <w:spacing w:before="100" w:beforeAutospacing="1" w:after="100" w:afterAutospacing="1"/>
        <w:rPr>
          <w:rFonts w:ascii="Times New Roman" w:eastAsia="新細明體" w:hAnsi="Times New Roman" w:cs="Times New Roman"/>
          <w:kern w:val="0"/>
          <w:szCs w:val="24"/>
        </w:rPr>
      </w:pPr>
      <w:r w:rsidRPr="00FD145F">
        <w:rPr>
          <w:rFonts w:ascii="Times New Roman" w:eastAsia="新細明體" w:hAnsi="Times New Roman" w:cs="Times New Roman"/>
          <w:kern w:val="0"/>
          <w:szCs w:val="24"/>
        </w:rPr>
        <w:t xml:space="preserve">These guidelines are </w:t>
      </w:r>
      <w:bookmarkStart w:id="0" w:name="_GoBack"/>
      <w:bookmarkEnd w:id="0"/>
      <w:r w:rsidRPr="00FD145F">
        <w:rPr>
          <w:rFonts w:ascii="Times New Roman" w:eastAsia="新細明體" w:hAnsi="Times New Roman" w:cs="Times New Roman"/>
          <w:kern w:val="0"/>
          <w:szCs w:val="24"/>
        </w:rPr>
        <w:t>established based on Articles 38 and 40, Paragraph 5 of the university regulations, and the "Implementation Guidelines for Students of the Central Taiwan Joint University System Pursuing Minors and Double Majors across Universities."</w:t>
      </w:r>
    </w:p>
    <w:p w14:paraId="2EEF807A" w14:textId="77777777" w:rsidR="00FD145F" w:rsidRPr="00FD145F" w:rsidRDefault="00FD145F" w:rsidP="00FD145F">
      <w:pPr>
        <w:widowControl/>
        <w:spacing w:before="100" w:beforeAutospacing="1" w:after="100" w:afterAutospacing="1"/>
        <w:outlineLvl w:val="2"/>
        <w:rPr>
          <w:rFonts w:ascii="Times New Roman" w:eastAsia="新細明體" w:hAnsi="Times New Roman" w:cs="Times New Roman"/>
          <w:b/>
          <w:bCs/>
          <w:kern w:val="0"/>
          <w:sz w:val="27"/>
          <w:szCs w:val="27"/>
        </w:rPr>
      </w:pPr>
      <w:r w:rsidRPr="00FD145F">
        <w:rPr>
          <w:rFonts w:ascii="Times New Roman" w:eastAsia="新細明體" w:hAnsi="Times New Roman" w:cs="Times New Roman"/>
          <w:b/>
          <w:bCs/>
          <w:kern w:val="0"/>
          <w:sz w:val="27"/>
          <w:szCs w:val="27"/>
        </w:rPr>
        <w:t>Application and Approval Process</w:t>
      </w:r>
    </w:p>
    <w:p w14:paraId="35208CA8" w14:textId="77777777" w:rsidR="00FD145F" w:rsidRPr="00FD145F" w:rsidRDefault="00FD145F" w:rsidP="00FD145F">
      <w:pPr>
        <w:widowControl/>
        <w:numPr>
          <w:ilvl w:val="0"/>
          <w:numId w:val="1"/>
        </w:numPr>
        <w:spacing w:before="100" w:beforeAutospacing="1" w:after="100" w:afterAutospacing="1"/>
        <w:rPr>
          <w:rFonts w:ascii="Times New Roman" w:eastAsia="新細明體" w:hAnsi="Times New Roman" w:cs="Times New Roman"/>
          <w:kern w:val="0"/>
          <w:szCs w:val="24"/>
        </w:rPr>
      </w:pPr>
      <w:r w:rsidRPr="00FD145F">
        <w:rPr>
          <w:rFonts w:ascii="Times New Roman" w:eastAsia="新細明體" w:hAnsi="Times New Roman" w:cs="Times New Roman"/>
          <w:kern w:val="0"/>
          <w:szCs w:val="24"/>
        </w:rPr>
        <w:t>Bachelor’s program students (excluding extended study students) can apply to pursue a double major in another department by submitting the "Asia University Double Major Application Form" along with proof of academic ranking during the designated application period. Approval must be obtained from the heads of both departments or programs before submission to the Registration and Curriculum Sections of the Office of Academic Affairs for review and listing.</w:t>
      </w:r>
    </w:p>
    <w:p w14:paraId="3CC0D5AF" w14:textId="77777777" w:rsidR="00FD145F" w:rsidRPr="00FD145F" w:rsidRDefault="00FD145F" w:rsidP="00FD145F">
      <w:pPr>
        <w:widowControl/>
        <w:spacing w:before="100" w:beforeAutospacing="1" w:after="100" w:afterAutospacing="1"/>
        <w:ind w:left="720"/>
        <w:rPr>
          <w:rFonts w:ascii="Times New Roman" w:eastAsia="新細明體" w:hAnsi="Times New Roman" w:cs="Times New Roman"/>
          <w:kern w:val="0"/>
          <w:szCs w:val="24"/>
        </w:rPr>
      </w:pPr>
      <w:r w:rsidRPr="00FD145F">
        <w:rPr>
          <w:rFonts w:ascii="Times New Roman" w:eastAsia="新細明體" w:hAnsi="Times New Roman" w:cs="Times New Roman"/>
          <w:kern w:val="0"/>
          <w:szCs w:val="24"/>
        </w:rPr>
        <w:t>Students from China Medical University (referred to as CMU) must fill out the "China Medical University and Asia University Application Form for Minors and Double Majors."</w:t>
      </w:r>
    </w:p>
    <w:p w14:paraId="4CD26D72" w14:textId="77777777" w:rsidR="00FD145F" w:rsidRPr="00FD145F" w:rsidRDefault="00FD145F" w:rsidP="00FD145F">
      <w:pPr>
        <w:widowControl/>
        <w:numPr>
          <w:ilvl w:val="0"/>
          <w:numId w:val="1"/>
        </w:numPr>
        <w:spacing w:before="100" w:beforeAutospacing="1" w:after="100" w:afterAutospacing="1"/>
        <w:rPr>
          <w:rFonts w:ascii="Times New Roman" w:eastAsia="新細明體" w:hAnsi="Times New Roman" w:cs="Times New Roman"/>
          <w:kern w:val="0"/>
          <w:szCs w:val="24"/>
        </w:rPr>
      </w:pPr>
      <w:r w:rsidRPr="00FD145F">
        <w:rPr>
          <w:rFonts w:ascii="Times New Roman" w:eastAsia="新細明體" w:hAnsi="Times New Roman" w:cs="Times New Roman"/>
          <w:kern w:val="0"/>
          <w:szCs w:val="24"/>
        </w:rPr>
        <w:t>Students who wish to apply or withdraw from a double major must follow the timeline announced in the academic calendar and must receive the approval of both department heads.</w:t>
      </w:r>
    </w:p>
    <w:p w14:paraId="67A3823D" w14:textId="77777777" w:rsidR="00D77345" w:rsidRPr="00D77345" w:rsidRDefault="00D77345" w:rsidP="00D77345">
      <w:pPr>
        <w:pStyle w:val="3"/>
        <w:rPr>
          <w:rFonts w:ascii="Times New Roman" w:hAnsi="Times New Roman" w:cs="Times New Roman"/>
        </w:rPr>
      </w:pPr>
      <w:r w:rsidRPr="00D77345">
        <w:rPr>
          <w:rFonts w:ascii="Times New Roman" w:hAnsi="Times New Roman" w:cs="Times New Roman"/>
        </w:rPr>
        <w:t>Requirements for Completing a Double Major</w:t>
      </w:r>
    </w:p>
    <w:p w14:paraId="06C83B4D" w14:textId="77777777" w:rsidR="00D77345" w:rsidRPr="00D77345" w:rsidRDefault="00D77345" w:rsidP="00D77345">
      <w:pPr>
        <w:pStyle w:val="Web"/>
        <w:numPr>
          <w:ilvl w:val="0"/>
          <w:numId w:val="2"/>
        </w:numPr>
        <w:rPr>
          <w:rFonts w:ascii="Times New Roman" w:hAnsi="Times New Roman" w:cs="Times New Roman"/>
        </w:rPr>
      </w:pPr>
      <w:r w:rsidRPr="00D77345">
        <w:rPr>
          <w:rFonts w:ascii="Times New Roman" w:hAnsi="Times New Roman" w:cs="Times New Roman"/>
        </w:rPr>
        <w:t>Students pursuing a double major must complete all required courses, specified elective credits, and meet the graduation thresholds set by the secondary department to qualify for a double major graduation certificate.</w:t>
      </w:r>
    </w:p>
    <w:p w14:paraId="4A97A3FB" w14:textId="77777777" w:rsidR="00D77345" w:rsidRPr="00D77345" w:rsidRDefault="00D77345" w:rsidP="00D77345">
      <w:pPr>
        <w:pStyle w:val="Web"/>
        <w:numPr>
          <w:ilvl w:val="0"/>
          <w:numId w:val="2"/>
        </w:numPr>
        <w:rPr>
          <w:rFonts w:ascii="Times New Roman" w:hAnsi="Times New Roman" w:cs="Times New Roman"/>
        </w:rPr>
      </w:pPr>
      <w:r w:rsidRPr="00D77345">
        <w:rPr>
          <w:rFonts w:ascii="Times New Roman" w:hAnsi="Times New Roman" w:cs="Times New Roman"/>
        </w:rPr>
        <w:t>The total credits required for the secondary major must be at least 40 credits. If overlapping courses with the primary major result in less than 40 credits, students must take additional courses from the secondary major to meet the credit requirement.</w:t>
      </w:r>
    </w:p>
    <w:p w14:paraId="367AB810" w14:textId="77777777" w:rsidR="00D77345" w:rsidRPr="00D77345" w:rsidRDefault="00D77345" w:rsidP="00D77345">
      <w:pPr>
        <w:pStyle w:val="Web"/>
        <w:numPr>
          <w:ilvl w:val="0"/>
          <w:numId w:val="2"/>
        </w:numPr>
        <w:rPr>
          <w:rFonts w:ascii="Times New Roman" w:hAnsi="Times New Roman" w:cs="Times New Roman"/>
        </w:rPr>
      </w:pPr>
      <w:r w:rsidRPr="00D77345">
        <w:rPr>
          <w:rFonts w:ascii="Times New Roman" w:hAnsi="Times New Roman" w:cs="Times New Roman"/>
        </w:rPr>
        <w:t xml:space="preserve">Daytime bachelor’s program students pursuing a double major must complete the “core curriculum” and “departmental professional elective courses” of the </w:t>
      </w:r>
      <w:r w:rsidRPr="00D77345">
        <w:rPr>
          <w:rFonts w:ascii="Times New Roman" w:hAnsi="Times New Roman" w:cs="Times New Roman"/>
        </w:rPr>
        <w:lastRenderedPageBreak/>
        <w:t>secondary major, excluding professional credits already completed in the primary major. The total credits for the secondary major must still meet or exceed 40 credits after deduction.</w:t>
      </w:r>
    </w:p>
    <w:p w14:paraId="1CF41C86" w14:textId="77777777" w:rsidR="00D77345" w:rsidRPr="00D77345" w:rsidRDefault="00D77345" w:rsidP="00D77345">
      <w:pPr>
        <w:pStyle w:val="Web"/>
        <w:numPr>
          <w:ilvl w:val="0"/>
          <w:numId w:val="2"/>
        </w:numPr>
        <w:rPr>
          <w:rFonts w:ascii="Times New Roman" w:hAnsi="Times New Roman" w:cs="Times New Roman"/>
        </w:rPr>
      </w:pPr>
      <w:r w:rsidRPr="00D77345">
        <w:rPr>
          <w:rFonts w:ascii="Times New Roman" w:hAnsi="Times New Roman" w:cs="Times New Roman"/>
        </w:rPr>
        <w:t>Students must follow course sequences if prerequisites are required for certain secondary major courses.</w:t>
      </w:r>
    </w:p>
    <w:p w14:paraId="5BF70AEF" w14:textId="77777777" w:rsidR="00D77345" w:rsidRPr="00D77345" w:rsidRDefault="00D77345" w:rsidP="00D77345">
      <w:pPr>
        <w:pStyle w:val="3"/>
        <w:rPr>
          <w:rFonts w:ascii="Times New Roman" w:hAnsi="Times New Roman" w:cs="Times New Roman"/>
        </w:rPr>
      </w:pPr>
      <w:r w:rsidRPr="00D77345">
        <w:rPr>
          <w:rFonts w:ascii="Times New Roman" w:hAnsi="Times New Roman" w:cs="Times New Roman"/>
        </w:rPr>
        <w:t>Course Enrollment and Scheduling</w:t>
      </w:r>
    </w:p>
    <w:p w14:paraId="2F6B4CE4" w14:textId="77777777" w:rsidR="00D77345" w:rsidRPr="00D77345" w:rsidRDefault="00D77345" w:rsidP="00D77345">
      <w:pPr>
        <w:pStyle w:val="Web"/>
        <w:numPr>
          <w:ilvl w:val="0"/>
          <w:numId w:val="3"/>
        </w:numPr>
        <w:rPr>
          <w:rFonts w:ascii="Times New Roman" w:hAnsi="Times New Roman" w:cs="Times New Roman"/>
        </w:rPr>
      </w:pPr>
      <w:r w:rsidRPr="00D77345">
        <w:rPr>
          <w:rFonts w:ascii="Times New Roman" w:hAnsi="Times New Roman" w:cs="Times New Roman"/>
        </w:rPr>
        <w:t>Courses for the secondary major should be completed during the semester. If a scheduling conflict occurs with primary major courses, students may enroll in these courses during another semester or follow the university's summer term policies to complete them.</w:t>
      </w:r>
    </w:p>
    <w:p w14:paraId="4271870B" w14:textId="77777777" w:rsidR="00D77345" w:rsidRPr="00D77345" w:rsidRDefault="00D77345" w:rsidP="00D77345">
      <w:pPr>
        <w:pStyle w:val="Web"/>
        <w:numPr>
          <w:ilvl w:val="0"/>
          <w:numId w:val="3"/>
        </w:numPr>
        <w:rPr>
          <w:rFonts w:ascii="Times New Roman" w:hAnsi="Times New Roman" w:cs="Times New Roman"/>
        </w:rPr>
      </w:pPr>
      <w:r w:rsidRPr="00D77345">
        <w:rPr>
          <w:rFonts w:ascii="Times New Roman" w:hAnsi="Times New Roman" w:cs="Times New Roman"/>
        </w:rPr>
        <w:t>The total credits for both primary and secondary major courses are combined for each semester, and the credit load must comply with semester credit limits. Failing to meet credit standards leading to dismissal will be handled according to university regulations.</w:t>
      </w:r>
    </w:p>
    <w:p w14:paraId="18567E06" w14:textId="77777777" w:rsidR="00D77345" w:rsidRPr="00D77345" w:rsidRDefault="00D77345" w:rsidP="00D77345">
      <w:pPr>
        <w:pStyle w:val="3"/>
        <w:rPr>
          <w:rFonts w:ascii="Times New Roman" w:hAnsi="Times New Roman" w:cs="Times New Roman"/>
        </w:rPr>
      </w:pPr>
      <w:r w:rsidRPr="00D77345">
        <w:rPr>
          <w:rFonts w:ascii="Times New Roman" w:hAnsi="Times New Roman" w:cs="Times New Roman"/>
        </w:rPr>
        <w:t>Study Duration Extensions</w:t>
      </w:r>
    </w:p>
    <w:p w14:paraId="492D7B87" w14:textId="77777777" w:rsidR="00D77345" w:rsidRPr="00D77345" w:rsidRDefault="00D77345" w:rsidP="00D77345">
      <w:pPr>
        <w:pStyle w:val="Web"/>
        <w:numPr>
          <w:ilvl w:val="0"/>
          <w:numId w:val="4"/>
        </w:numPr>
        <w:rPr>
          <w:rFonts w:ascii="Times New Roman" w:hAnsi="Times New Roman" w:cs="Times New Roman"/>
        </w:rPr>
      </w:pPr>
      <w:r w:rsidRPr="00D77345">
        <w:rPr>
          <w:rFonts w:ascii="Times New Roman" w:hAnsi="Times New Roman" w:cs="Times New Roman"/>
        </w:rPr>
        <w:t>Students who fail to complete all secondary major requirements within two additional years of extended study may apply for one additional year of study.</w:t>
      </w:r>
    </w:p>
    <w:p w14:paraId="70E8D197" w14:textId="77777777" w:rsidR="00D77345" w:rsidRPr="00D77345" w:rsidRDefault="00D77345" w:rsidP="00D77345">
      <w:pPr>
        <w:pStyle w:val="Web"/>
        <w:numPr>
          <w:ilvl w:val="0"/>
          <w:numId w:val="4"/>
        </w:numPr>
        <w:rPr>
          <w:rFonts w:ascii="Times New Roman" w:hAnsi="Times New Roman" w:cs="Times New Roman"/>
        </w:rPr>
      </w:pPr>
      <w:r w:rsidRPr="00D77345">
        <w:rPr>
          <w:rFonts w:ascii="Times New Roman" w:hAnsi="Times New Roman" w:cs="Times New Roman"/>
        </w:rPr>
        <w:t>Graduates meeting all secondary major course and credit requirements will have the secondary major indicated on their transcript, academic record, and diploma.</w:t>
      </w:r>
    </w:p>
    <w:p w14:paraId="2EBD8F1C" w14:textId="77777777" w:rsidR="00D77345" w:rsidRPr="00D77345" w:rsidRDefault="00D77345" w:rsidP="00D77345">
      <w:pPr>
        <w:pStyle w:val="3"/>
        <w:rPr>
          <w:rFonts w:ascii="Times New Roman" w:hAnsi="Times New Roman" w:cs="Times New Roman"/>
        </w:rPr>
      </w:pPr>
      <w:r w:rsidRPr="00D77345">
        <w:rPr>
          <w:rFonts w:ascii="Times New Roman" w:hAnsi="Times New Roman" w:cs="Times New Roman"/>
        </w:rPr>
        <w:t>Withdrawal and Partial Completion</w:t>
      </w:r>
    </w:p>
    <w:p w14:paraId="3927E563" w14:textId="77777777" w:rsidR="00D77345" w:rsidRPr="00D77345" w:rsidRDefault="00D77345" w:rsidP="00D77345">
      <w:pPr>
        <w:pStyle w:val="Web"/>
        <w:numPr>
          <w:ilvl w:val="0"/>
          <w:numId w:val="5"/>
        </w:numPr>
        <w:rPr>
          <w:rFonts w:ascii="Times New Roman" w:hAnsi="Times New Roman" w:cs="Times New Roman"/>
        </w:rPr>
      </w:pPr>
      <w:r w:rsidRPr="00D77345">
        <w:rPr>
          <w:rFonts w:ascii="Times New Roman" w:hAnsi="Times New Roman" w:cs="Times New Roman"/>
        </w:rPr>
        <w:t>Students withdrawing from or failing to complete the secondary major within the designated period may qualify for a minor if they meet minor requirements. If minor requirements are not met, completed secondary major courses deemed relevant by the primary department may count as elective credits toward graduation.</w:t>
      </w:r>
    </w:p>
    <w:p w14:paraId="4A97D3FE" w14:textId="77777777" w:rsidR="00D77345" w:rsidRPr="00D77345" w:rsidRDefault="00D77345" w:rsidP="00D77345">
      <w:pPr>
        <w:pStyle w:val="Web"/>
        <w:numPr>
          <w:ilvl w:val="0"/>
          <w:numId w:val="5"/>
        </w:numPr>
        <w:rPr>
          <w:rFonts w:ascii="Times New Roman" w:hAnsi="Times New Roman" w:cs="Times New Roman"/>
        </w:rPr>
      </w:pPr>
      <w:r w:rsidRPr="00D77345">
        <w:rPr>
          <w:rFonts w:ascii="Times New Roman" w:hAnsi="Times New Roman" w:cs="Times New Roman"/>
        </w:rPr>
        <w:t>Students fulfilling primary major graduation requirements but not secondary major requirements may graduate with the primary major after withdrawing from the secondary major. Conversely, students meeting secondary major requirements but not primary major requirements may graduate with the secondary major after similar withdrawal procedures.</w:t>
      </w:r>
    </w:p>
    <w:p w14:paraId="3DAC869F" w14:textId="77777777" w:rsidR="00D77345" w:rsidRPr="00D77345" w:rsidRDefault="00D77345" w:rsidP="00D77345">
      <w:pPr>
        <w:pStyle w:val="3"/>
        <w:rPr>
          <w:rFonts w:ascii="Times New Roman" w:hAnsi="Times New Roman" w:cs="Times New Roman"/>
        </w:rPr>
      </w:pPr>
      <w:r w:rsidRPr="00D77345">
        <w:rPr>
          <w:rFonts w:ascii="Times New Roman" w:hAnsi="Times New Roman" w:cs="Times New Roman"/>
        </w:rPr>
        <w:t>Additional Provisions</w:t>
      </w:r>
    </w:p>
    <w:p w14:paraId="1EB56951" w14:textId="77777777" w:rsidR="00D77345" w:rsidRPr="00D77345" w:rsidRDefault="00D77345" w:rsidP="00D77345">
      <w:pPr>
        <w:pStyle w:val="Web"/>
        <w:numPr>
          <w:ilvl w:val="0"/>
          <w:numId w:val="6"/>
        </w:numPr>
        <w:rPr>
          <w:rFonts w:ascii="Times New Roman" w:hAnsi="Times New Roman" w:cs="Times New Roman"/>
        </w:rPr>
      </w:pPr>
      <w:r w:rsidRPr="00D77345">
        <w:rPr>
          <w:rFonts w:ascii="Times New Roman" w:hAnsi="Times New Roman" w:cs="Times New Roman"/>
        </w:rPr>
        <w:lastRenderedPageBreak/>
        <w:t>Matters not covered in these guidelines will be handled according to relevant regulations of the "Implementation Guidelines for Students of the Central Taiwan Joint University System Pursuing Minors and Double Majors across Universities."</w:t>
      </w:r>
    </w:p>
    <w:p w14:paraId="3095FCF4" w14:textId="77777777" w:rsidR="00D77345" w:rsidRPr="00D77345" w:rsidRDefault="00D77345" w:rsidP="00D77345">
      <w:pPr>
        <w:pStyle w:val="Web"/>
        <w:numPr>
          <w:ilvl w:val="0"/>
          <w:numId w:val="6"/>
        </w:numPr>
        <w:rPr>
          <w:rFonts w:ascii="Times New Roman" w:hAnsi="Times New Roman" w:cs="Times New Roman"/>
        </w:rPr>
      </w:pPr>
      <w:r w:rsidRPr="00D77345">
        <w:rPr>
          <w:rFonts w:ascii="Times New Roman" w:hAnsi="Times New Roman" w:cs="Times New Roman"/>
        </w:rPr>
        <w:t>These guidelines take effect upon approval by the Academic Affairs Meeting and publication. Amendments will follow the same procedure.</w:t>
      </w:r>
    </w:p>
    <w:p w14:paraId="37D54569" w14:textId="0174DF0C" w:rsidR="004F3E11" w:rsidRPr="00D77345" w:rsidRDefault="00D77345" w:rsidP="00D77345">
      <w:pPr>
        <w:pStyle w:val="a8"/>
        <w:numPr>
          <w:ilvl w:val="0"/>
          <w:numId w:val="6"/>
        </w:numPr>
        <w:ind w:leftChars="0"/>
        <w:rPr>
          <w:rFonts w:ascii="Times New Roman" w:hAnsi="Times New Roman" w:cs="Times New Roman"/>
        </w:rPr>
      </w:pPr>
      <w:r w:rsidRPr="00D77345">
        <w:rPr>
          <w:rFonts w:ascii="Times New Roman" w:hAnsi="Times New Roman" w:cs="Times New Roman"/>
        </w:rPr>
        <w:t>These guidelines shall be implemented upon approval by the Academic Affairs Meeting and publication. Amendments shall follow the same procedure.</w:t>
      </w:r>
    </w:p>
    <w:sectPr w:rsidR="004F3E11" w:rsidRPr="00D77345">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2C7178" w14:textId="77777777" w:rsidR="00D506A6" w:rsidRDefault="00D506A6" w:rsidP="00FD145F">
      <w:r>
        <w:separator/>
      </w:r>
    </w:p>
  </w:endnote>
  <w:endnote w:type="continuationSeparator" w:id="0">
    <w:p w14:paraId="7918A6D3" w14:textId="77777777" w:rsidR="00D506A6" w:rsidRDefault="00D506A6" w:rsidP="00FD1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2A7119" w14:textId="77777777" w:rsidR="00D506A6" w:rsidRDefault="00D506A6" w:rsidP="00FD145F">
      <w:r>
        <w:separator/>
      </w:r>
    </w:p>
  </w:footnote>
  <w:footnote w:type="continuationSeparator" w:id="0">
    <w:p w14:paraId="4453B9C1" w14:textId="77777777" w:rsidR="00D506A6" w:rsidRDefault="00D506A6" w:rsidP="00FD14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E50D9"/>
    <w:multiLevelType w:val="multilevel"/>
    <w:tmpl w:val="C56A1B18"/>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5757899"/>
    <w:multiLevelType w:val="multilevel"/>
    <w:tmpl w:val="C02AB8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A211467"/>
    <w:multiLevelType w:val="multilevel"/>
    <w:tmpl w:val="E94A51E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1074F57"/>
    <w:multiLevelType w:val="multilevel"/>
    <w:tmpl w:val="F514907E"/>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58451150"/>
    <w:multiLevelType w:val="multilevel"/>
    <w:tmpl w:val="A660313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F3C5D22"/>
    <w:multiLevelType w:val="multilevel"/>
    <w:tmpl w:val="4282C6F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5"/>
  </w:num>
  <w:num w:numId="3">
    <w:abstractNumId w:val="2"/>
  </w:num>
  <w:num w:numId="4">
    <w:abstractNumId w:val="3"/>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7797"/>
    <w:rsid w:val="004F3E11"/>
    <w:rsid w:val="00D47797"/>
    <w:rsid w:val="00D506A6"/>
    <w:rsid w:val="00D77345"/>
    <w:rsid w:val="00FD14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559548"/>
  <w15:chartTrackingRefBased/>
  <w15:docId w15:val="{EA49E160-5884-4E93-AA32-460315EA4F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paragraph" w:styleId="3">
    <w:name w:val="heading 3"/>
    <w:basedOn w:val="a"/>
    <w:link w:val="30"/>
    <w:uiPriority w:val="9"/>
    <w:qFormat/>
    <w:rsid w:val="00FD145F"/>
    <w:pPr>
      <w:widowControl/>
      <w:spacing w:before="100" w:beforeAutospacing="1" w:after="100" w:afterAutospacing="1"/>
      <w:outlineLvl w:val="2"/>
    </w:pPr>
    <w:rPr>
      <w:rFonts w:ascii="新細明體" w:eastAsia="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D145F"/>
    <w:pPr>
      <w:tabs>
        <w:tab w:val="center" w:pos="4153"/>
        <w:tab w:val="right" w:pos="8306"/>
      </w:tabs>
      <w:snapToGrid w:val="0"/>
    </w:pPr>
    <w:rPr>
      <w:sz w:val="20"/>
      <w:szCs w:val="20"/>
    </w:rPr>
  </w:style>
  <w:style w:type="character" w:customStyle="1" w:styleId="a4">
    <w:name w:val="頁首 字元"/>
    <w:basedOn w:val="a0"/>
    <w:link w:val="a3"/>
    <w:uiPriority w:val="99"/>
    <w:rsid w:val="00FD145F"/>
    <w:rPr>
      <w:sz w:val="20"/>
      <w:szCs w:val="20"/>
    </w:rPr>
  </w:style>
  <w:style w:type="paragraph" w:styleId="a5">
    <w:name w:val="footer"/>
    <w:basedOn w:val="a"/>
    <w:link w:val="a6"/>
    <w:uiPriority w:val="99"/>
    <w:unhideWhenUsed/>
    <w:rsid w:val="00FD145F"/>
    <w:pPr>
      <w:tabs>
        <w:tab w:val="center" w:pos="4153"/>
        <w:tab w:val="right" w:pos="8306"/>
      </w:tabs>
      <w:snapToGrid w:val="0"/>
    </w:pPr>
    <w:rPr>
      <w:sz w:val="20"/>
      <w:szCs w:val="20"/>
    </w:rPr>
  </w:style>
  <w:style w:type="character" w:customStyle="1" w:styleId="a6">
    <w:name w:val="頁尾 字元"/>
    <w:basedOn w:val="a0"/>
    <w:link w:val="a5"/>
    <w:uiPriority w:val="99"/>
    <w:rsid w:val="00FD145F"/>
    <w:rPr>
      <w:sz w:val="20"/>
      <w:szCs w:val="20"/>
    </w:rPr>
  </w:style>
  <w:style w:type="character" w:customStyle="1" w:styleId="30">
    <w:name w:val="標題 3 字元"/>
    <w:basedOn w:val="a0"/>
    <w:link w:val="3"/>
    <w:uiPriority w:val="9"/>
    <w:rsid w:val="00FD145F"/>
    <w:rPr>
      <w:rFonts w:ascii="新細明體" w:eastAsia="新細明體" w:hAnsi="新細明體" w:cs="新細明體"/>
      <w:b/>
      <w:bCs/>
      <w:kern w:val="0"/>
      <w:sz w:val="27"/>
      <w:szCs w:val="27"/>
    </w:rPr>
  </w:style>
  <w:style w:type="paragraph" w:styleId="Web">
    <w:name w:val="Normal (Web)"/>
    <w:basedOn w:val="a"/>
    <w:uiPriority w:val="99"/>
    <w:semiHidden/>
    <w:unhideWhenUsed/>
    <w:rsid w:val="00FD145F"/>
    <w:pPr>
      <w:widowControl/>
      <w:spacing w:before="100" w:beforeAutospacing="1" w:after="100" w:afterAutospacing="1"/>
    </w:pPr>
    <w:rPr>
      <w:rFonts w:ascii="新細明體" w:eastAsia="新細明體" w:hAnsi="新細明體" w:cs="新細明體"/>
      <w:kern w:val="0"/>
      <w:szCs w:val="24"/>
    </w:rPr>
  </w:style>
  <w:style w:type="character" w:styleId="a7">
    <w:name w:val="Strong"/>
    <w:basedOn w:val="a0"/>
    <w:uiPriority w:val="22"/>
    <w:qFormat/>
    <w:rsid w:val="00FD145F"/>
    <w:rPr>
      <w:b/>
      <w:bCs/>
    </w:rPr>
  </w:style>
  <w:style w:type="paragraph" w:styleId="a8">
    <w:name w:val="List Paragraph"/>
    <w:basedOn w:val="a"/>
    <w:uiPriority w:val="34"/>
    <w:qFormat/>
    <w:rsid w:val="00D77345"/>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2875011">
      <w:bodyDiv w:val="1"/>
      <w:marLeft w:val="0"/>
      <w:marRight w:val="0"/>
      <w:marTop w:val="0"/>
      <w:marBottom w:val="0"/>
      <w:divBdr>
        <w:top w:val="none" w:sz="0" w:space="0" w:color="auto"/>
        <w:left w:val="none" w:sz="0" w:space="0" w:color="auto"/>
        <w:bottom w:val="none" w:sz="0" w:space="0" w:color="auto"/>
        <w:right w:val="none" w:sz="0" w:space="0" w:color="auto"/>
      </w:divBdr>
    </w:div>
    <w:div w:id="1571574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3</Pages>
  <Words>661</Words>
  <Characters>3773</Characters>
  <Application>Microsoft Office Word</Application>
  <DocSecurity>0</DocSecurity>
  <Lines>31</Lines>
  <Paragraphs>8</Paragraphs>
  <ScaleCrop>false</ScaleCrop>
  <Company>亞洲大學 Asia University</Company>
  <LinksUpToDate>false</LinksUpToDate>
  <CharactersWithSpaces>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李婧萁</dc:creator>
  <cp:keywords/>
  <dc:description/>
  <cp:lastModifiedBy>李婧萁</cp:lastModifiedBy>
  <cp:revision>2</cp:revision>
  <dcterms:created xsi:type="dcterms:W3CDTF">2024-12-04T03:57:00Z</dcterms:created>
  <dcterms:modified xsi:type="dcterms:W3CDTF">2024-12-04T05:14:00Z</dcterms:modified>
</cp:coreProperties>
</file>