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7E09C0"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bookmarkStart w:id="0" w:name="_GoBack"/>
      <w:r w:rsidRPr="000E0F64">
        <w:rPr>
          <w:rFonts w:ascii="Times New Roman" w:eastAsia="新細明體" w:hAnsi="Times New Roman" w:cs="Times New Roman"/>
          <w:b/>
          <w:bCs/>
          <w:kern w:val="0"/>
          <w:sz w:val="27"/>
          <w:szCs w:val="27"/>
        </w:rPr>
        <w:t>Asia University Guidelines for Direct Admission to Doctoral Programs</w:t>
      </w:r>
    </w:p>
    <w:bookmarkEnd w:id="0"/>
    <w:p w14:paraId="2C48B2EA"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 w:val="20"/>
          <w:szCs w:val="20"/>
        </w:rPr>
      </w:pPr>
      <w:r w:rsidRPr="000E0F64">
        <w:rPr>
          <w:rFonts w:ascii="Times New Roman" w:eastAsia="新細明體" w:hAnsi="Times New Roman" w:cs="Times New Roman"/>
          <w:bCs/>
          <w:kern w:val="0"/>
          <w:sz w:val="20"/>
          <w:szCs w:val="20"/>
        </w:rPr>
        <w:t>Approved on December 20, 2006, at the 2nd University Affairs Meeting of the 95th Academic Year</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Issued as Document No. 0950006578 on December 28, 2006</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Revised on February 27, 2013, at the 4th University Affairs Meeting of the 101st Academic Year</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Issued as Document No. 1020002935 on March 22, 2013</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Revised on October 28, 2020, at the 1st University Affairs Meeting of the 109th Academic Year</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Issued as Document No. 1090015410 on December 14, 2020</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Revised on February 22, 2023, at the 3rd University Affairs Meeting of the 111th Academic Year</w:t>
      </w:r>
      <w:r w:rsidRPr="000E0F64">
        <w:rPr>
          <w:rFonts w:ascii="Times New Roman" w:eastAsia="新細明體" w:hAnsi="Times New Roman" w:cs="Times New Roman"/>
          <w:kern w:val="0"/>
          <w:sz w:val="20"/>
          <w:szCs w:val="20"/>
        </w:rPr>
        <w:br/>
      </w:r>
      <w:r w:rsidRPr="000E0F64">
        <w:rPr>
          <w:rFonts w:ascii="Times New Roman" w:eastAsia="新細明體" w:hAnsi="Times New Roman" w:cs="Times New Roman"/>
          <w:bCs/>
          <w:kern w:val="0"/>
          <w:sz w:val="20"/>
          <w:szCs w:val="20"/>
        </w:rPr>
        <w:t>Issued as Document No. 1120003744 on March 20, 2023</w:t>
      </w:r>
    </w:p>
    <w:p w14:paraId="7C047C44"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1</w:t>
      </w:r>
    </w:p>
    <w:p w14:paraId="532044EC"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These guidelines are established in accordance with the Ministry of Education's "Regulations for Direct Admission to Doctoral Programs."</w:t>
      </w:r>
    </w:p>
    <w:p w14:paraId="1800F445"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2</w:t>
      </w:r>
    </w:p>
    <w:p w14:paraId="77A7A912"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Outstanding students with strong research potential, who are either graduating undergraduates (including those applying for early graduation) or master’s program students, may apply to pursue a doctoral degree directly within their respective department, institute, college, or degree program at the university.</w:t>
      </w:r>
      <w:r w:rsidRPr="000E0F64">
        <w:rPr>
          <w:rFonts w:ascii="Times New Roman" w:eastAsia="新細明體" w:hAnsi="Times New Roman" w:cs="Times New Roman"/>
          <w:kern w:val="0"/>
          <w:szCs w:val="24"/>
        </w:rPr>
        <w:br/>
        <w:t>The criteria for outstanding academic performance and research potential shall be determined by each department, institute, college, or degree program and submitted to the Office of Academic Affairs for record.</w:t>
      </w:r>
    </w:p>
    <w:p w14:paraId="760E059B"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3</w:t>
      </w:r>
    </w:p>
    <w:p w14:paraId="12FA0512"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Applicants for direct admission to a doctoral program must submit the following documents to the intended doctoral program:</w:t>
      </w:r>
    </w:p>
    <w:p w14:paraId="1CA13D76" w14:textId="77777777" w:rsidR="000E0F64" w:rsidRPr="000E0F64" w:rsidRDefault="000E0F64" w:rsidP="000E0F64">
      <w:pPr>
        <w:widowControl/>
        <w:numPr>
          <w:ilvl w:val="0"/>
          <w:numId w:val="1"/>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One completed "Application Form for Direct Admission to Doctoral Programs."</w:t>
      </w:r>
    </w:p>
    <w:p w14:paraId="70BF9B00" w14:textId="77777777" w:rsidR="000E0F64" w:rsidRPr="000E0F64" w:rsidRDefault="000E0F64" w:rsidP="000E0F64">
      <w:pPr>
        <w:widowControl/>
        <w:numPr>
          <w:ilvl w:val="0"/>
          <w:numId w:val="1"/>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Supporting documents meeting the criteria in Article 2.</w:t>
      </w:r>
    </w:p>
    <w:p w14:paraId="01AA459E" w14:textId="77777777" w:rsidR="000E0F64" w:rsidRPr="000E0F64" w:rsidRDefault="000E0F64" w:rsidP="000E0F64">
      <w:pPr>
        <w:widowControl/>
        <w:numPr>
          <w:ilvl w:val="0"/>
          <w:numId w:val="1"/>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Two recommendation letters from assistant professors or higher-level faculty members of the applicant's current or related department, institute, or degree program.</w:t>
      </w:r>
    </w:p>
    <w:p w14:paraId="7C3D6030" w14:textId="77777777" w:rsidR="000E0F64" w:rsidRPr="000E0F64" w:rsidRDefault="000E0F64" w:rsidP="000E0F64">
      <w:pPr>
        <w:widowControl/>
        <w:numPr>
          <w:ilvl w:val="0"/>
          <w:numId w:val="1"/>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Any additional materials specified by the department, institute, or degree program.</w:t>
      </w:r>
    </w:p>
    <w:p w14:paraId="59A00E91"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lastRenderedPageBreak/>
        <w:t>The application materials shall be reviewed by the department, institute, degree program, and college meetings. Approved applications, along with meeting minutes, shall be submitted to the Office of Academic Affairs and forwarded to the university president for final approval. Only upon approval may the applicant be admitted to a doctoral program.</w:t>
      </w:r>
      <w:r w:rsidRPr="000E0F64">
        <w:rPr>
          <w:rFonts w:ascii="Times New Roman" w:eastAsia="新細明體" w:hAnsi="Times New Roman" w:cs="Times New Roman"/>
          <w:kern w:val="0"/>
          <w:szCs w:val="24"/>
        </w:rPr>
        <w:br/>
        <w:t>The application form format shall follow the template provided by the Office of Academic Affairs, and recommendation letters shall use formats specified by the respective department, institute, or degree program.</w:t>
      </w:r>
    </w:p>
    <w:p w14:paraId="6C5BC317"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4</w:t>
      </w:r>
    </w:p>
    <w:p w14:paraId="17583135"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Applications for direct admission are accepted during the winter break (after instructors submit grades) each academic year. Specific application dates shall be indicated in the academic calendar.</w:t>
      </w:r>
    </w:p>
    <w:p w14:paraId="2D648ECE"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5</w:t>
      </w:r>
    </w:p>
    <w:p w14:paraId="05C7326E"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Each department, institute, or degree program may admit students directly into doctoral programs within a quota of 40% of the Ministry of Education-approved enrollment for doctoral programs for the academic year.</w:t>
      </w:r>
      <w:r w:rsidRPr="000E0F64">
        <w:rPr>
          <w:rFonts w:ascii="Times New Roman" w:eastAsia="新細明體" w:hAnsi="Times New Roman" w:cs="Times New Roman"/>
          <w:kern w:val="0"/>
          <w:szCs w:val="24"/>
        </w:rPr>
        <w:br/>
        <w:t>If quotas are transferred between programs within the same college, this limit does not apply.</w:t>
      </w:r>
    </w:p>
    <w:p w14:paraId="45E66546"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Programs are not allowed to fill all doctoral program slots via direct admission, except in the following cases:</w:t>
      </w:r>
    </w:p>
    <w:p w14:paraId="32C81AED" w14:textId="77777777" w:rsidR="000E0F64" w:rsidRPr="000E0F64" w:rsidRDefault="000E0F64" w:rsidP="000E0F64">
      <w:pPr>
        <w:widowControl/>
        <w:numPr>
          <w:ilvl w:val="0"/>
          <w:numId w:val="2"/>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The program has only one approved doctoral program slot.</w:t>
      </w:r>
    </w:p>
    <w:p w14:paraId="41BDD089" w14:textId="77777777" w:rsidR="000E0F64" w:rsidRPr="000E0F64" w:rsidRDefault="000E0F64" w:rsidP="000E0F64">
      <w:pPr>
        <w:widowControl/>
        <w:numPr>
          <w:ilvl w:val="0"/>
          <w:numId w:val="2"/>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The admission is part of a Ministry of Education-approved talent cultivation or special project.</w:t>
      </w:r>
    </w:p>
    <w:p w14:paraId="29F5FAD4"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The total number of direct admissions must still fall within the overall enrollment quota approved by the Ministry of Education for that academic year.</w:t>
      </w:r>
    </w:p>
    <w:p w14:paraId="5CA44F6F"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6</w:t>
      </w:r>
    </w:p>
    <w:p w14:paraId="26884CE9"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Approved graduating undergraduates must obtain their bachelor's degree within the academic year and begin their doctoral studies in the subsequent academic year. Deferral of admission is not permitted. Those who fail to obtain a bachelor's degree before enrollment will have their direct admission qualification revoked.</w:t>
      </w:r>
    </w:p>
    <w:p w14:paraId="55FB5C96"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7</w:t>
      </w:r>
    </w:p>
    <w:p w14:paraId="271BCD72"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lastRenderedPageBreak/>
        <w:t>Students admitted to a doctoral program may apply to return to their original master’s program or transfer to a related master’s program under the following conditions, subject to review and approval by the relevant meetings and the university president:</w:t>
      </w:r>
    </w:p>
    <w:p w14:paraId="70A557EB" w14:textId="77777777" w:rsidR="000E0F64" w:rsidRPr="000E0F64" w:rsidRDefault="000E0F64" w:rsidP="000E0F64">
      <w:pPr>
        <w:widowControl/>
        <w:numPr>
          <w:ilvl w:val="0"/>
          <w:numId w:val="3"/>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Voluntarily discontinuing doctoral studies.</w:t>
      </w:r>
    </w:p>
    <w:p w14:paraId="122AB37B" w14:textId="77777777" w:rsidR="000E0F64" w:rsidRPr="000E0F64" w:rsidRDefault="000E0F64" w:rsidP="000E0F64">
      <w:pPr>
        <w:widowControl/>
        <w:numPr>
          <w:ilvl w:val="0"/>
          <w:numId w:val="3"/>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Failing to pass the doctoral candidacy examination.</w:t>
      </w:r>
    </w:p>
    <w:p w14:paraId="0B3438BF" w14:textId="77777777" w:rsidR="000E0F64" w:rsidRPr="000E0F64" w:rsidRDefault="000E0F64" w:rsidP="000E0F64">
      <w:pPr>
        <w:widowControl/>
        <w:numPr>
          <w:ilvl w:val="0"/>
          <w:numId w:val="3"/>
        </w:numPr>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Failing the doctoral dissertation defense without meeting the criteria in Article 8.</w:t>
      </w:r>
    </w:p>
    <w:p w14:paraId="6D71C0AA"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Approved students must complete the required courses and thesis for a master’s degree and pass the master's degree examination to be awarded the master's degree. The time spent in the doctoral program will not count toward the maximum time limit for completing the master’s degree.</w:t>
      </w:r>
    </w:p>
    <w:p w14:paraId="3FF92C53"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8</w:t>
      </w:r>
    </w:p>
    <w:p w14:paraId="55263BA6"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Students who complete the doctoral candidacy examination but fail the doctoral dissertation defense may be awarded a master’s degree if their dissertation meets the standards for a master's degree as determined by the doctoral examination committee.</w:t>
      </w:r>
    </w:p>
    <w:p w14:paraId="36CB44CB"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9</w:t>
      </w:r>
    </w:p>
    <w:p w14:paraId="2F1AF265"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Master’s students approved for direct admission to a doctoral program cannot simultaneously participate in their original master’s degree examination unless they voluntarily withdraw from the doctoral program. If a student passes both the master’s degree examination and the direct admission to the doctoral program, the doctoral admission qualification will be revoked.</w:t>
      </w:r>
    </w:p>
    <w:p w14:paraId="37D1CD95"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10</w:t>
      </w:r>
    </w:p>
    <w:p w14:paraId="06C88C26"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Matters not covered in these guidelines shall be handled in accordance with relevant regulations of the Ministry of Education and the university.</w:t>
      </w:r>
    </w:p>
    <w:p w14:paraId="56B53810" w14:textId="77777777" w:rsidR="000E0F64" w:rsidRPr="000E0F64" w:rsidRDefault="000E0F64" w:rsidP="000E0F64">
      <w:pPr>
        <w:widowControl/>
        <w:spacing w:before="100" w:beforeAutospacing="1" w:after="100" w:afterAutospacing="1"/>
        <w:outlineLvl w:val="2"/>
        <w:rPr>
          <w:rFonts w:ascii="Times New Roman" w:eastAsia="新細明體" w:hAnsi="Times New Roman" w:cs="Times New Roman"/>
          <w:b/>
          <w:bCs/>
          <w:kern w:val="0"/>
          <w:sz w:val="27"/>
          <w:szCs w:val="27"/>
        </w:rPr>
      </w:pPr>
      <w:r w:rsidRPr="000E0F64">
        <w:rPr>
          <w:rFonts w:ascii="Times New Roman" w:eastAsia="新細明體" w:hAnsi="Times New Roman" w:cs="Times New Roman"/>
          <w:b/>
          <w:bCs/>
          <w:kern w:val="0"/>
          <w:sz w:val="27"/>
          <w:szCs w:val="27"/>
        </w:rPr>
        <w:t>Article 11</w:t>
      </w:r>
    </w:p>
    <w:p w14:paraId="0134A8BD" w14:textId="77777777" w:rsidR="000E0F64" w:rsidRPr="000E0F64" w:rsidRDefault="000E0F64" w:rsidP="000E0F64">
      <w:pPr>
        <w:widowControl/>
        <w:spacing w:before="100" w:beforeAutospacing="1" w:after="100" w:afterAutospacing="1"/>
        <w:rPr>
          <w:rFonts w:ascii="Times New Roman" w:eastAsia="新細明體" w:hAnsi="Times New Roman" w:cs="Times New Roman"/>
          <w:kern w:val="0"/>
          <w:szCs w:val="24"/>
        </w:rPr>
      </w:pPr>
      <w:r w:rsidRPr="000E0F64">
        <w:rPr>
          <w:rFonts w:ascii="Times New Roman" w:eastAsia="新細明體" w:hAnsi="Times New Roman" w:cs="Times New Roman"/>
          <w:kern w:val="0"/>
          <w:szCs w:val="24"/>
        </w:rPr>
        <w:t>These guidelines shall take effect upon approval by the University Affairs Meeting and authorization by the university president. Revisions shall follow the same procedure.</w:t>
      </w:r>
    </w:p>
    <w:p w14:paraId="25ADD6AA" w14:textId="77777777" w:rsidR="004F3E11" w:rsidRPr="000E0F64" w:rsidRDefault="004F3E11">
      <w:pPr>
        <w:rPr>
          <w:rFonts w:ascii="Times New Roman" w:hAnsi="Times New Roman" w:cs="Times New Roman"/>
        </w:rPr>
      </w:pPr>
    </w:p>
    <w:sectPr w:rsidR="004F3E11" w:rsidRPr="000E0F6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AA6F9" w14:textId="77777777" w:rsidR="00D14D45" w:rsidRDefault="00D14D45" w:rsidP="000E0F64">
      <w:r>
        <w:separator/>
      </w:r>
    </w:p>
  </w:endnote>
  <w:endnote w:type="continuationSeparator" w:id="0">
    <w:p w14:paraId="75F5085D" w14:textId="77777777" w:rsidR="00D14D45" w:rsidRDefault="00D14D45" w:rsidP="000E0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46FCD" w14:textId="77777777" w:rsidR="00D14D45" w:rsidRDefault="00D14D45" w:rsidP="000E0F64">
      <w:r>
        <w:separator/>
      </w:r>
    </w:p>
  </w:footnote>
  <w:footnote w:type="continuationSeparator" w:id="0">
    <w:p w14:paraId="274907F5" w14:textId="77777777" w:rsidR="00D14D45" w:rsidRDefault="00D14D45" w:rsidP="000E0F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E65011"/>
    <w:multiLevelType w:val="multilevel"/>
    <w:tmpl w:val="9FA403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7405F20"/>
    <w:multiLevelType w:val="multilevel"/>
    <w:tmpl w:val="5582F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84365BF"/>
    <w:multiLevelType w:val="multilevel"/>
    <w:tmpl w:val="51686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B22"/>
    <w:rsid w:val="000E0F64"/>
    <w:rsid w:val="00103B22"/>
    <w:rsid w:val="004F3E11"/>
    <w:rsid w:val="00D14D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8738D9-5D03-4C84-B7E9-46B25996E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0E0F64"/>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E0F64"/>
    <w:pPr>
      <w:tabs>
        <w:tab w:val="center" w:pos="4153"/>
        <w:tab w:val="right" w:pos="8306"/>
      </w:tabs>
      <w:snapToGrid w:val="0"/>
    </w:pPr>
    <w:rPr>
      <w:sz w:val="20"/>
      <w:szCs w:val="20"/>
    </w:rPr>
  </w:style>
  <w:style w:type="character" w:customStyle="1" w:styleId="a4">
    <w:name w:val="頁首 字元"/>
    <w:basedOn w:val="a0"/>
    <w:link w:val="a3"/>
    <w:uiPriority w:val="99"/>
    <w:rsid w:val="000E0F64"/>
    <w:rPr>
      <w:sz w:val="20"/>
      <w:szCs w:val="20"/>
    </w:rPr>
  </w:style>
  <w:style w:type="paragraph" w:styleId="a5">
    <w:name w:val="footer"/>
    <w:basedOn w:val="a"/>
    <w:link w:val="a6"/>
    <w:uiPriority w:val="99"/>
    <w:unhideWhenUsed/>
    <w:rsid w:val="000E0F64"/>
    <w:pPr>
      <w:tabs>
        <w:tab w:val="center" w:pos="4153"/>
        <w:tab w:val="right" w:pos="8306"/>
      </w:tabs>
      <w:snapToGrid w:val="0"/>
    </w:pPr>
    <w:rPr>
      <w:sz w:val="20"/>
      <w:szCs w:val="20"/>
    </w:rPr>
  </w:style>
  <w:style w:type="character" w:customStyle="1" w:styleId="a6">
    <w:name w:val="頁尾 字元"/>
    <w:basedOn w:val="a0"/>
    <w:link w:val="a5"/>
    <w:uiPriority w:val="99"/>
    <w:rsid w:val="000E0F64"/>
    <w:rPr>
      <w:sz w:val="20"/>
      <w:szCs w:val="20"/>
    </w:rPr>
  </w:style>
  <w:style w:type="character" w:customStyle="1" w:styleId="30">
    <w:name w:val="標題 3 字元"/>
    <w:basedOn w:val="a0"/>
    <w:link w:val="3"/>
    <w:uiPriority w:val="9"/>
    <w:rsid w:val="000E0F64"/>
    <w:rPr>
      <w:rFonts w:ascii="新細明體" w:eastAsia="新細明體" w:hAnsi="新細明體" w:cs="新細明體"/>
      <w:b/>
      <w:bCs/>
      <w:kern w:val="0"/>
      <w:sz w:val="27"/>
      <w:szCs w:val="27"/>
    </w:rPr>
  </w:style>
  <w:style w:type="character" w:styleId="a7">
    <w:name w:val="Strong"/>
    <w:basedOn w:val="a0"/>
    <w:uiPriority w:val="22"/>
    <w:qFormat/>
    <w:rsid w:val="000E0F64"/>
    <w:rPr>
      <w:b/>
      <w:bCs/>
    </w:rPr>
  </w:style>
  <w:style w:type="paragraph" w:styleId="Web">
    <w:name w:val="Normal (Web)"/>
    <w:basedOn w:val="a"/>
    <w:uiPriority w:val="99"/>
    <w:semiHidden/>
    <w:unhideWhenUsed/>
    <w:rsid w:val="000E0F64"/>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41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806</Words>
  <Characters>4600</Characters>
  <Application>Microsoft Office Word</Application>
  <DocSecurity>0</DocSecurity>
  <Lines>38</Lines>
  <Paragraphs>10</Paragraphs>
  <ScaleCrop>false</ScaleCrop>
  <Company>亞洲大學 Asia University</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2024-12-04T05:26:00Z</dcterms:created>
  <dcterms:modified xsi:type="dcterms:W3CDTF">2024-12-04T05:28:00Z</dcterms:modified>
</cp:coreProperties>
</file>