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701C4" w14:textId="2D92A7E8" w:rsidR="00E91076" w:rsidRDefault="00E91076" w:rsidP="00E91076">
      <w:pPr>
        <w:jc w:val="center"/>
        <w:rPr>
          <w:rFonts w:ascii="Times New Roman" w:hAnsi="Times New Roman" w:cs="Times New Roman"/>
          <w:b/>
          <w:bCs/>
          <w:sz w:val="32"/>
          <w:szCs w:val="32"/>
        </w:rPr>
      </w:pPr>
      <w:r w:rsidRPr="00E91076">
        <w:rPr>
          <w:rFonts w:ascii="Times New Roman" w:hAnsi="Times New Roman" w:cs="Times New Roman"/>
          <w:b/>
          <w:bCs/>
          <w:sz w:val="32"/>
          <w:szCs w:val="32"/>
        </w:rPr>
        <w:t>Guidelines for Handling Cases of Violations of Academic Ethics in Master's and Doctoral Theses at Asia University</w:t>
      </w:r>
    </w:p>
    <w:p w14:paraId="69353493" w14:textId="3ABEB0F2" w:rsidR="00E91076" w:rsidRPr="00E91076" w:rsidRDefault="00E91076" w:rsidP="00E91076">
      <w:pPr>
        <w:ind w:right="240"/>
        <w:jc w:val="right"/>
        <w:rPr>
          <w:rFonts w:ascii="Times New Roman" w:hAnsi="Times New Roman" w:cs="Times New Roman"/>
          <w:sz w:val="16"/>
          <w:szCs w:val="16"/>
        </w:rPr>
      </w:pPr>
      <w:r w:rsidRPr="00E91076">
        <w:rPr>
          <w:rFonts w:ascii="Times New Roman" w:hAnsi="Times New Roman" w:cs="Times New Roman"/>
        </w:rPr>
        <w:br/>
      </w:r>
      <w:r w:rsidRPr="00E91076">
        <w:rPr>
          <w:rFonts w:ascii="Times New Roman" w:hAnsi="Times New Roman" w:cs="Times New Roman"/>
          <w:sz w:val="16"/>
          <w:szCs w:val="16"/>
        </w:rPr>
        <w:t>Passed by the 2nd Faculty Meeting of the 1st semester of the 98th academic year on December 30, 1998.</w:t>
      </w:r>
      <w:r w:rsidRPr="00E91076">
        <w:rPr>
          <w:rFonts w:ascii="Times New Roman" w:hAnsi="Times New Roman" w:cs="Times New Roman"/>
          <w:sz w:val="16"/>
          <w:szCs w:val="16"/>
        </w:rPr>
        <w:br/>
        <w:t>Issued by Asia University on January 19, 1999, under document number Asia Secret No. 0990000524.</w:t>
      </w:r>
      <w:r w:rsidRPr="00E91076">
        <w:rPr>
          <w:rFonts w:ascii="Times New Roman" w:hAnsi="Times New Roman" w:cs="Times New Roman"/>
          <w:sz w:val="16"/>
          <w:szCs w:val="16"/>
        </w:rPr>
        <w:br/>
        <w:t>Amended in the 5th Administrative Meeting of the 104th academic year on December 30, 2015.</w:t>
      </w:r>
      <w:r w:rsidRPr="00E91076">
        <w:rPr>
          <w:rFonts w:ascii="Times New Roman" w:hAnsi="Times New Roman" w:cs="Times New Roman"/>
          <w:sz w:val="16"/>
          <w:szCs w:val="16"/>
        </w:rPr>
        <w:br/>
        <w:t>Issued by Asia University on December 30, 2015, under document number Asia Secret No. 1040016792.</w:t>
      </w:r>
      <w:r w:rsidRPr="00E91076">
        <w:rPr>
          <w:rFonts w:ascii="Times New Roman" w:hAnsi="Times New Roman" w:cs="Times New Roman"/>
          <w:sz w:val="16"/>
          <w:szCs w:val="16"/>
        </w:rPr>
        <w:br/>
        <w:t>Amended in the 1st Faculty Meeting of the 2nd semester of the 107th academic year on June 5, 2018, with new additions to Articles 2 and 9, and modifications to Article 1.</w:t>
      </w:r>
      <w:r w:rsidRPr="00E91076">
        <w:rPr>
          <w:rFonts w:ascii="Times New Roman" w:hAnsi="Times New Roman" w:cs="Times New Roman"/>
          <w:sz w:val="16"/>
          <w:szCs w:val="16"/>
        </w:rPr>
        <w:br/>
        <w:t>Issued by Asia University on July 5, 2018, under document number Asia Secret No. 1080009770.</w:t>
      </w:r>
      <w:r w:rsidRPr="00E91076">
        <w:rPr>
          <w:rFonts w:ascii="Times New Roman" w:hAnsi="Times New Roman" w:cs="Times New Roman"/>
          <w:sz w:val="16"/>
          <w:szCs w:val="16"/>
        </w:rPr>
        <w:br/>
        <w:t>In the 1st Faculty Meeting of the 1st semester of the 108th academic year on December 9, 2018, Articles 2, 3, 4, 5, 6, 7 were amended, and Article 10 was added, with changes to the order of subsequent articles.</w:t>
      </w:r>
      <w:r w:rsidRPr="00E91076">
        <w:rPr>
          <w:rFonts w:ascii="Times New Roman" w:hAnsi="Times New Roman" w:cs="Times New Roman"/>
          <w:sz w:val="16"/>
          <w:szCs w:val="16"/>
        </w:rPr>
        <w:br/>
        <w:t>Issued by Asia University on December 9, 2018, under document number Asia Secret No. 1080009770.</w:t>
      </w:r>
    </w:p>
    <w:p w14:paraId="392ED7D3"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3D384C40">
          <v:rect id="_x0000_i1091" style="width:0;height:1.5pt" o:hralign="center" o:hrstd="t" o:hr="t" fillcolor="#a0a0a0" stroked="f"/>
        </w:pict>
      </w:r>
    </w:p>
    <w:p w14:paraId="551A8D1F"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1: Purpose</w:t>
      </w:r>
      <w:r w:rsidRPr="00E91076">
        <w:rPr>
          <w:rFonts w:ascii="Times New Roman" w:hAnsi="Times New Roman" w:cs="Times New Roman"/>
        </w:rPr>
        <w:br/>
        <w:t>To uphold academic integrity and establish a fair and objective procedure for handling cases of violations of academic ethics in the Master's and Doctoral theses at Asia University, this document is formulated in accordance with the provisions of the "Degree Conferral Act" and the "Principles for Handling Academic Ethics Violations in Higher Education Institutions."</w:t>
      </w:r>
    </w:p>
    <w:p w14:paraId="76A4C56F"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33D204A0">
          <v:rect id="_x0000_i1092" style="width:0;height:1.5pt" o:hralign="center" o:hrstd="t" o:hr="t" fillcolor="#a0a0a0" stroked="f"/>
        </w:pict>
      </w:r>
    </w:p>
    <w:p w14:paraId="2A373819"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2: Definition of Violations of Academic Ethics and Integrity</w:t>
      </w:r>
      <w:r w:rsidRPr="00E91076">
        <w:rPr>
          <w:rFonts w:ascii="Times New Roman" w:hAnsi="Times New Roman" w:cs="Times New Roman"/>
        </w:rPr>
        <w:br/>
        <w:t>The following behaviors are deemed violations of academic ethics and integrity:</w:t>
      </w:r>
    </w:p>
    <w:p w14:paraId="236FEBD4"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Fabrication</w:t>
      </w:r>
      <w:r w:rsidRPr="00E91076">
        <w:rPr>
          <w:rFonts w:ascii="Times New Roman" w:hAnsi="Times New Roman" w:cs="Times New Roman"/>
        </w:rPr>
        <w:t>: The creation of false application data, research data, or research results.</w:t>
      </w:r>
    </w:p>
    <w:p w14:paraId="17B6E834"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Falsification</w:t>
      </w:r>
      <w:r w:rsidRPr="00E91076">
        <w:rPr>
          <w:rFonts w:ascii="Times New Roman" w:hAnsi="Times New Roman" w:cs="Times New Roman"/>
        </w:rPr>
        <w:t>: The unauthorized alteration of application data, research data, or research results.</w:t>
      </w:r>
    </w:p>
    <w:p w14:paraId="5EF6D19B"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Plagiarism</w:t>
      </w:r>
      <w:r w:rsidRPr="00E91076">
        <w:rPr>
          <w:rFonts w:ascii="Times New Roman" w:hAnsi="Times New Roman" w:cs="Times New Roman"/>
        </w:rPr>
        <w:t xml:space="preserve">: The use of another's application data, research data, or research results without proper citation. Plagiarism is also considered when citations </w:t>
      </w:r>
      <w:r w:rsidRPr="00E91076">
        <w:rPr>
          <w:rFonts w:ascii="Times New Roman" w:hAnsi="Times New Roman" w:cs="Times New Roman"/>
        </w:rPr>
        <w:lastRenderedPageBreak/>
        <w:t>are inappropriate, and the severity of the violation warrants it.</w:t>
      </w:r>
    </w:p>
    <w:p w14:paraId="3DD4026C"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Ghostwriting</w:t>
      </w:r>
      <w:r w:rsidRPr="00E91076">
        <w:rPr>
          <w:rFonts w:ascii="Times New Roman" w:hAnsi="Times New Roman" w:cs="Times New Roman"/>
        </w:rPr>
        <w:t>: The act of having someone else write the thesis or dissertation.</w:t>
      </w:r>
    </w:p>
    <w:p w14:paraId="096DBE48"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Self-Plagiarism</w:t>
      </w:r>
      <w:r w:rsidRPr="00E91076">
        <w:rPr>
          <w:rFonts w:ascii="Times New Roman" w:hAnsi="Times New Roman" w:cs="Times New Roman"/>
        </w:rPr>
        <w:t>: Repeating previously published work without proper citation.</w:t>
      </w:r>
    </w:p>
    <w:p w14:paraId="522989DA"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Excessive Self-Citation</w:t>
      </w:r>
      <w:r w:rsidRPr="00E91076">
        <w:rPr>
          <w:rFonts w:ascii="Times New Roman" w:hAnsi="Times New Roman" w:cs="Times New Roman"/>
        </w:rPr>
        <w:t>: Over-reliance on one’s own previously published work without adequate citation.</w:t>
      </w:r>
    </w:p>
    <w:p w14:paraId="1E9A44CB"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Translation Substitution</w:t>
      </w:r>
      <w:r w:rsidRPr="00E91076">
        <w:rPr>
          <w:rFonts w:ascii="Times New Roman" w:hAnsi="Times New Roman" w:cs="Times New Roman"/>
        </w:rPr>
        <w:t>: Substituting translation for original research without appropriate citation.</w:t>
      </w:r>
    </w:p>
    <w:p w14:paraId="1F4DD5FF"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Improper Influence on Thesis Review</w:t>
      </w:r>
      <w:r w:rsidRPr="00E91076">
        <w:rPr>
          <w:rFonts w:ascii="Times New Roman" w:hAnsi="Times New Roman" w:cs="Times New Roman"/>
        </w:rPr>
        <w:t>: The act of attempting to influence the thesis review process through requests, coercion, bribery, threats, or other improper means.</w:t>
      </w:r>
    </w:p>
    <w:p w14:paraId="08175E99" w14:textId="77777777" w:rsidR="00E91076" w:rsidRPr="00E91076" w:rsidRDefault="00E91076" w:rsidP="00E91076">
      <w:pPr>
        <w:numPr>
          <w:ilvl w:val="0"/>
          <w:numId w:val="1"/>
        </w:numPr>
        <w:rPr>
          <w:rFonts w:ascii="Times New Roman" w:hAnsi="Times New Roman" w:cs="Times New Roman"/>
        </w:rPr>
      </w:pPr>
      <w:r w:rsidRPr="00E91076">
        <w:rPr>
          <w:rFonts w:ascii="Times New Roman" w:hAnsi="Times New Roman" w:cs="Times New Roman"/>
          <w:b/>
          <w:bCs/>
        </w:rPr>
        <w:t>Other Violations of Academic Ethics</w:t>
      </w:r>
      <w:r w:rsidRPr="00E91076">
        <w:rPr>
          <w:rFonts w:ascii="Times New Roman" w:hAnsi="Times New Roman" w:cs="Times New Roman"/>
        </w:rPr>
        <w:t>: Any other behavior that breaches academic ethics.</w:t>
      </w:r>
    </w:p>
    <w:p w14:paraId="0394C796"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t>The determination of violations of academic ethics must be reviewed by the Academic Ethics Review Committee of the relevant faculty.</w:t>
      </w:r>
    </w:p>
    <w:p w14:paraId="7DB97B36"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1B082BA5">
          <v:rect id="_x0000_i1093" style="width:0;height:1.5pt" o:hralign="center" o:hrstd="t" o:hr="t" fillcolor="#a0a0a0" stroked="f"/>
        </w:pict>
      </w:r>
    </w:p>
    <w:p w14:paraId="4FB8CFE3"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3: Revocation of Degree</w:t>
      </w:r>
      <w:r w:rsidRPr="00E91076">
        <w:rPr>
          <w:rFonts w:ascii="Times New Roman" w:hAnsi="Times New Roman" w:cs="Times New Roman"/>
        </w:rPr>
        <w:br/>
        <w:t>In cases where a thesis that has already been awarded a degree is found to have violated academic ethics after investigation, the degree will be revoked, and the diploma will be invalidated. A notice will be issued to the student to return the diploma, and the university and national libraries will remove the thesis from circulation. Additionally, the student’s thesis will be reported to other universities and relevant institutions. If the student has committed other illegal acts, legal action will be pursued. Any graduate whose degree is revoked will not be permitted to continue their studies, even if they have not yet completed the required study period.</w:t>
      </w:r>
    </w:p>
    <w:p w14:paraId="000C0851"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237F114A">
          <v:rect id="_x0000_i1094" style="width:0;height:1.5pt" o:hralign="center" o:hrstd="t" o:hr="t" fillcolor="#a0a0a0" stroked="f"/>
        </w:pict>
      </w:r>
    </w:p>
    <w:p w14:paraId="68A7BE86"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4: Reporting Violations of Academic Ethics</w:t>
      </w:r>
      <w:r w:rsidRPr="00E91076">
        <w:rPr>
          <w:rFonts w:ascii="Times New Roman" w:hAnsi="Times New Roman" w:cs="Times New Roman"/>
        </w:rPr>
        <w:br/>
        <w:t xml:space="preserve">For reports that clearly identify the alleged violator and provide concrete evidence, the case shall proceed under the academic ethics violation procedure. If the report </w:t>
      </w:r>
      <w:r w:rsidRPr="00E91076">
        <w:rPr>
          <w:rFonts w:ascii="Times New Roman" w:hAnsi="Times New Roman" w:cs="Times New Roman"/>
        </w:rPr>
        <w:lastRenderedPageBreak/>
        <w:t>does not provide the identity of the whistleblower but clearly points out the violator and provides sufficient evidence, the case will still be handled according to the above provisions.</w:t>
      </w:r>
      <w:r w:rsidRPr="00E91076">
        <w:rPr>
          <w:rFonts w:ascii="Times New Roman" w:hAnsi="Times New Roman" w:cs="Times New Roman"/>
        </w:rPr>
        <w:br/>
        <w:t>The whistleblower must submit a detailed report, including evidence, and may submit it to the department of the person being reported for further investigation.</w:t>
      </w:r>
    </w:p>
    <w:p w14:paraId="0645163E"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5CC70E23">
          <v:rect id="_x0000_i1095" style="width:0;height:1.5pt" o:hralign="center" o:hrstd="t" o:hr="t" fillcolor="#a0a0a0" stroked="f"/>
        </w:pict>
      </w:r>
    </w:p>
    <w:p w14:paraId="2372F76E"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5: Establishment of Review Committee</w:t>
      </w:r>
      <w:r w:rsidRPr="00E91076">
        <w:rPr>
          <w:rFonts w:ascii="Times New Roman" w:hAnsi="Times New Roman" w:cs="Times New Roman"/>
        </w:rPr>
        <w:br/>
        <w:t>A review committee will be formed to handle cases involving academic ethics violations. This committee will consist of five to seven members, including the current dean of the department as an ex-officio member. The dean may invite faculty members from the department or relevant experts from inside and outside the university, with at least one committee member having a legal background. The members of the committee will be approved by the university president. The review committee will be chaired by the dean of the relevant department. Meetings must be attended by at least two-thirds of the committee members, and decisions require the approval of at least half of the attending members.</w:t>
      </w:r>
    </w:p>
    <w:p w14:paraId="0C8B0590"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t>The committee members must have no personal or academic conflict of interest with the person being reported, including advisors, oral exam committee members, close relatives, or those with other conflicts of interest.</w:t>
      </w:r>
    </w:p>
    <w:p w14:paraId="4C612D8B"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5B762EC7">
          <v:rect id="_x0000_i1096" style="width:0;height:1.5pt" o:hralign="center" o:hrstd="t" o:hr="t" fillcolor="#a0a0a0" stroked="f"/>
        </w:pict>
      </w:r>
    </w:p>
    <w:p w14:paraId="471D0B3B"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6: Confidentiality and Review Procedure</w:t>
      </w:r>
      <w:r w:rsidRPr="00E91076">
        <w:rPr>
          <w:rFonts w:ascii="Times New Roman" w:hAnsi="Times New Roman" w:cs="Times New Roman"/>
        </w:rPr>
        <w:br/>
        <w:t>Until the case is proven, the review process should be handled confidentially to protect the privacy of both the whistleblower and the accused. The review process must respect the professional judgment of the relevant field.</w:t>
      </w:r>
      <w:r w:rsidRPr="00E91076">
        <w:rPr>
          <w:rFonts w:ascii="Times New Roman" w:hAnsi="Times New Roman" w:cs="Times New Roman"/>
        </w:rPr>
        <w:br/>
        <w:t>The committee must issue a notice to the accused within one month of receiving the report. The accused has 10 days to submit a written defense. Afterward, at least two committee members will be appointed to review the case and provide a report with recommendations. A meeting will be convened to make the final decision, and if necessary, the accused’s advisor or other relevant persons may be invited to attend the meeting.</w:t>
      </w:r>
    </w:p>
    <w:p w14:paraId="4044B930"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5FED6EDE">
          <v:rect id="_x0000_i1097" style="width:0;height:1.5pt" o:hralign="center" o:hrstd="t" o:hr="t" fillcolor="#a0a0a0" stroked="f"/>
        </w:pict>
      </w:r>
    </w:p>
    <w:p w14:paraId="27814FB7"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lastRenderedPageBreak/>
        <w:t>Article 7: Appeals and Final Decisions</w:t>
      </w:r>
      <w:r w:rsidRPr="00E91076">
        <w:rPr>
          <w:rFonts w:ascii="Times New Roman" w:hAnsi="Times New Roman" w:cs="Times New Roman"/>
        </w:rPr>
        <w:br/>
        <w:t>After the review meeting, the committee must make a concrete decision and provide written notification of the results and reasons to both the whistleblower and the accused. If either party disagrees with the decision, they may appeal within 15 days. Only one appeal is allowed. The committee will meet to review the appeal.</w:t>
      </w:r>
    </w:p>
    <w:p w14:paraId="26DBDAD3"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32C32E0A">
          <v:rect id="_x0000_i1098" style="width:0;height:1.5pt" o:hralign="center" o:hrstd="t" o:hr="t" fillcolor="#a0a0a0" stroked="f"/>
        </w:pict>
      </w:r>
    </w:p>
    <w:p w14:paraId="5B66A518"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8: Responsibility of the Advisor</w:t>
      </w:r>
      <w:r w:rsidRPr="00E91076">
        <w:rPr>
          <w:rFonts w:ascii="Times New Roman" w:hAnsi="Times New Roman" w:cs="Times New Roman"/>
        </w:rPr>
        <w:br/>
        <w:t>In cases where a violation of academic ethics is confirmed, the advisor of the student will bear joint responsibility. From the semester following the announcement of the revocation, the advisor will be prohibited from supervising new graduate students for two years.</w:t>
      </w:r>
    </w:p>
    <w:p w14:paraId="0BD87EC3"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04CA04FC">
          <v:rect id="_x0000_i1099" style="width:0;height:1.5pt" o:hralign="center" o:hrstd="t" o:hr="t" fillcolor="#a0a0a0" stroked="f"/>
        </w:pict>
      </w:r>
    </w:p>
    <w:p w14:paraId="0B83A7AE"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9: Application to Creative Works</w:t>
      </w:r>
      <w:r w:rsidRPr="00E91076">
        <w:rPr>
          <w:rFonts w:ascii="Times New Roman" w:hAnsi="Times New Roman" w:cs="Times New Roman"/>
        </w:rPr>
        <w:br/>
        <w:t>The provisions of this document also apply to cases where a Master's or Doctoral degree is obtained through creative works, performances, written reports, or technical reports.</w:t>
      </w:r>
    </w:p>
    <w:p w14:paraId="54C47176"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552DF8BC">
          <v:rect id="_x0000_i1100" style="width:0;height:1.5pt" o:hralign="center" o:hrstd="t" o:hr="t" fillcolor="#a0a0a0" stroked="f"/>
        </w:pict>
      </w:r>
    </w:p>
    <w:p w14:paraId="0F419F00"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10: Unspecified Matters</w:t>
      </w:r>
      <w:r w:rsidRPr="00E91076">
        <w:rPr>
          <w:rFonts w:ascii="Times New Roman" w:hAnsi="Times New Roman" w:cs="Times New Roman"/>
        </w:rPr>
        <w:br/>
        <w:t>Any matters not covered by these guidelines will be handled in accordance with the relevant regulations of the Ministry of Education and Asia University.</w:t>
      </w:r>
    </w:p>
    <w:p w14:paraId="637D8263" w14:textId="77777777" w:rsidR="00E91076" w:rsidRPr="00E91076" w:rsidRDefault="00E91076" w:rsidP="00E91076">
      <w:pPr>
        <w:rPr>
          <w:rFonts w:ascii="Times New Roman" w:hAnsi="Times New Roman" w:cs="Times New Roman"/>
        </w:rPr>
      </w:pPr>
      <w:r w:rsidRPr="00E91076">
        <w:rPr>
          <w:rFonts w:ascii="Times New Roman" w:hAnsi="Times New Roman" w:cs="Times New Roman"/>
        </w:rPr>
        <w:pict w14:anchorId="5FAC1F2F">
          <v:rect id="_x0000_i1101" style="width:0;height:1.5pt" o:hralign="center" o:hrstd="t" o:hr="t" fillcolor="#a0a0a0" stroked="f"/>
        </w:pict>
      </w:r>
    </w:p>
    <w:p w14:paraId="6100036D" w14:textId="77777777" w:rsidR="00E91076" w:rsidRPr="00E91076" w:rsidRDefault="00E91076" w:rsidP="00E91076">
      <w:pPr>
        <w:rPr>
          <w:rFonts w:ascii="Times New Roman" w:hAnsi="Times New Roman" w:cs="Times New Roman"/>
        </w:rPr>
      </w:pPr>
      <w:r w:rsidRPr="00E91076">
        <w:rPr>
          <w:rFonts w:ascii="Times New Roman" w:hAnsi="Times New Roman" w:cs="Times New Roman"/>
          <w:b/>
          <w:bCs/>
        </w:rPr>
        <w:t>Article 11: Effective Date</w:t>
      </w:r>
      <w:r w:rsidRPr="00E91076">
        <w:rPr>
          <w:rFonts w:ascii="Times New Roman" w:hAnsi="Times New Roman" w:cs="Times New Roman"/>
        </w:rPr>
        <w:br/>
        <w:t>These guidelines shall be implemented after approval by the Faculty Meeting and the President. Any amendments will follow the same procedure.</w:t>
      </w:r>
    </w:p>
    <w:p w14:paraId="69C93F2B" w14:textId="77777777" w:rsidR="00B40F9F" w:rsidRPr="00E91076" w:rsidRDefault="00B40F9F">
      <w:pPr>
        <w:rPr>
          <w:rFonts w:ascii="Times New Roman" w:hAnsi="Times New Roman" w:cs="Times New Roman"/>
        </w:rPr>
      </w:pPr>
    </w:p>
    <w:sectPr w:rsidR="00B40F9F" w:rsidRPr="00E9107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E5699"/>
    <w:multiLevelType w:val="multilevel"/>
    <w:tmpl w:val="E9342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052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33F"/>
    <w:rsid w:val="001D738B"/>
    <w:rsid w:val="00372F07"/>
    <w:rsid w:val="0088733F"/>
    <w:rsid w:val="00B40F9F"/>
    <w:rsid w:val="00E910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2C3C"/>
  <w15:chartTrackingRefBased/>
  <w15:docId w15:val="{5EDF843B-8733-49E2-A2BD-D40C1806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8733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8733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8733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8733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8733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8733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8733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8733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8733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8733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8733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8733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8733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8733F"/>
    <w:rPr>
      <w:rFonts w:eastAsiaTheme="majorEastAsia" w:cstheme="majorBidi"/>
      <w:color w:val="0F4761" w:themeColor="accent1" w:themeShade="BF"/>
    </w:rPr>
  </w:style>
  <w:style w:type="character" w:customStyle="1" w:styleId="60">
    <w:name w:val="標題 6 字元"/>
    <w:basedOn w:val="a0"/>
    <w:link w:val="6"/>
    <w:uiPriority w:val="9"/>
    <w:semiHidden/>
    <w:rsid w:val="0088733F"/>
    <w:rPr>
      <w:rFonts w:eastAsiaTheme="majorEastAsia" w:cstheme="majorBidi"/>
      <w:color w:val="595959" w:themeColor="text1" w:themeTint="A6"/>
    </w:rPr>
  </w:style>
  <w:style w:type="character" w:customStyle="1" w:styleId="70">
    <w:name w:val="標題 7 字元"/>
    <w:basedOn w:val="a0"/>
    <w:link w:val="7"/>
    <w:uiPriority w:val="9"/>
    <w:semiHidden/>
    <w:rsid w:val="0088733F"/>
    <w:rPr>
      <w:rFonts w:eastAsiaTheme="majorEastAsia" w:cstheme="majorBidi"/>
      <w:color w:val="595959" w:themeColor="text1" w:themeTint="A6"/>
    </w:rPr>
  </w:style>
  <w:style w:type="character" w:customStyle="1" w:styleId="80">
    <w:name w:val="標題 8 字元"/>
    <w:basedOn w:val="a0"/>
    <w:link w:val="8"/>
    <w:uiPriority w:val="9"/>
    <w:semiHidden/>
    <w:rsid w:val="0088733F"/>
    <w:rPr>
      <w:rFonts w:eastAsiaTheme="majorEastAsia" w:cstheme="majorBidi"/>
      <w:color w:val="272727" w:themeColor="text1" w:themeTint="D8"/>
    </w:rPr>
  </w:style>
  <w:style w:type="character" w:customStyle="1" w:styleId="90">
    <w:name w:val="標題 9 字元"/>
    <w:basedOn w:val="a0"/>
    <w:link w:val="9"/>
    <w:uiPriority w:val="9"/>
    <w:semiHidden/>
    <w:rsid w:val="0088733F"/>
    <w:rPr>
      <w:rFonts w:eastAsiaTheme="majorEastAsia" w:cstheme="majorBidi"/>
      <w:color w:val="272727" w:themeColor="text1" w:themeTint="D8"/>
    </w:rPr>
  </w:style>
  <w:style w:type="paragraph" w:styleId="a3">
    <w:name w:val="Title"/>
    <w:basedOn w:val="a"/>
    <w:next w:val="a"/>
    <w:link w:val="a4"/>
    <w:uiPriority w:val="10"/>
    <w:qFormat/>
    <w:rsid w:val="0088733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873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733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873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733F"/>
    <w:pPr>
      <w:spacing w:before="160"/>
      <w:jc w:val="center"/>
    </w:pPr>
    <w:rPr>
      <w:i/>
      <w:iCs/>
      <w:color w:val="404040" w:themeColor="text1" w:themeTint="BF"/>
    </w:rPr>
  </w:style>
  <w:style w:type="character" w:customStyle="1" w:styleId="a8">
    <w:name w:val="引文 字元"/>
    <w:basedOn w:val="a0"/>
    <w:link w:val="a7"/>
    <w:uiPriority w:val="29"/>
    <w:rsid w:val="0088733F"/>
    <w:rPr>
      <w:i/>
      <w:iCs/>
      <w:color w:val="404040" w:themeColor="text1" w:themeTint="BF"/>
    </w:rPr>
  </w:style>
  <w:style w:type="paragraph" w:styleId="a9">
    <w:name w:val="List Paragraph"/>
    <w:basedOn w:val="a"/>
    <w:uiPriority w:val="34"/>
    <w:qFormat/>
    <w:rsid w:val="0088733F"/>
    <w:pPr>
      <w:ind w:left="720"/>
      <w:contextualSpacing/>
    </w:pPr>
  </w:style>
  <w:style w:type="character" w:styleId="aa">
    <w:name w:val="Intense Emphasis"/>
    <w:basedOn w:val="a0"/>
    <w:uiPriority w:val="21"/>
    <w:qFormat/>
    <w:rsid w:val="0088733F"/>
    <w:rPr>
      <w:i/>
      <w:iCs/>
      <w:color w:val="0F4761" w:themeColor="accent1" w:themeShade="BF"/>
    </w:rPr>
  </w:style>
  <w:style w:type="paragraph" w:styleId="ab">
    <w:name w:val="Intense Quote"/>
    <w:basedOn w:val="a"/>
    <w:next w:val="a"/>
    <w:link w:val="ac"/>
    <w:uiPriority w:val="30"/>
    <w:qFormat/>
    <w:rsid w:val="008873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8733F"/>
    <w:rPr>
      <w:i/>
      <w:iCs/>
      <w:color w:val="0F4761" w:themeColor="accent1" w:themeShade="BF"/>
    </w:rPr>
  </w:style>
  <w:style w:type="character" w:styleId="ad">
    <w:name w:val="Intense Reference"/>
    <w:basedOn w:val="a0"/>
    <w:uiPriority w:val="32"/>
    <w:qFormat/>
    <w:rsid w:val="008873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8309">
      <w:bodyDiv w:val="1"/>
      <w:marLeft w:val="0"/>
      <w:marRight w:val="0"/>
      <w:marTop w:val="0"/>
      <w:marBottom w:val="0"/>
      <w:divBdr>
        <w:top w:val="none" w:sz="0" w:space="0" w:color="auto"/>
        <w:left w:val="none" w:sz="0" w:space="0" w:color="auto"/>
        <w:bottom w:val="none" w:sz="0" w:space="0" w:color="auto"/>
        <w:right w:val="none" w:sz="0" w:space="0" w:color="auto"/>
      </w:divBdr>
    </w:div>
    <w:div w:id="106391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5928</Characters>
  <Application>Microsoft Office Word</Application>
  <DocSecurity>0</DocSecurity>
  <Lines>49</Lines>
  <Paragraphs>13</Paragraphs>
  <ScaleCrop>false</ScaleCrop>
  <Company>亞洲大學 Asia University</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2025-04-07T07:47:00Z</dcterms:created>
  <dcterms:modified xsi:type="dcterms:W3CDTF">2025-04-07T07:48:00Z</dcterms:modified>
</cp:coreProperties>
</file>