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0D" w:rsidRDefault="00C62A0D" w:rsidP="00F1678E">
      <w:pPr>
        <w:pStyle w:val="2-"/>
        <w:spacing w:after="240" w:line="420" w:lineRule="exact"/>
        <w:ind w:leftChars="0" w:left="0" w:firstLineChars="0" w:firstLine="0"/>
        <w:jc w:val="center"/>
        <w:outlineLvl w:val="9"/>
        <w:rPr>
          <w:rFonts w:ascii="標楷體" w:hAnsi="標楷體"/>
          <w:szCs w:val="28"/>
        </w:rPr>
      </w:pPr>
      <w:bookmarkStart w:id="0" w:name="_GoBack"/>
      <w:r>
        <w:rPr>
          <w:rFonts w:ascii="標楷體" w:hAnsi="標楷體" w:hint="eastAsia"/>
          <w:szCs w:val="28"/>
        </w:rPr>
        <w:t>亞洲大學學生成績作業要點</w:t>
      </w:r>
      <w:bookmarkEnd w:id="0"/>
    </w:p>
    <w:p w:rsidR="00C62A0D" w:rsidRDefault="00B5717F" w:rsidP="009C6CCF">
      <w:pPr>
        <w:pStyle w:val="2-"/>
        <w:spacing w:line="300" w:lineRule="exact"/>
        <w:ind w:leftChars="0" w:left="0" w:firstLineChars="0" w:firstLine="0"/>
        <w:jc w:val="right"/>
        <w:outlineLvl w:val="9"/>
        <w:rPr>
          <w:rFonts w:ascii="標楷體" w:hAnsi="標楷體"/>
          <w:b w:val="0"/>
          <w:sz w:val="20"/>
          <w:szCs w:val="20"/>
        </w:rPr>
      </w:pPr>
      <w:r>
        <w:rPr>
          <w:rFonts w:ascii="標楷體" w:hAnsi="標楷體" w:hint="eastAsia"/>
          <w:b w:val="0"/>
          <w:sz w:val="20"/>
          <w:szCs w:val="20"/>
        </w:rPr>
        <w:t xml:space="preserve">110.05.20 </w:t>
      </w:r>
      <w:r w:rsidR="00C62A0D">
        <w:rPr>
          <w:rFonts w:ascii="標楷體" w:hAnsi="標楷體" w:hint="eastAsia"/>
          <w:b w:val="0"/>
          <w:sz w:val="20"/>
          <w:szCs w:val="20"/>
        </w:rPr>
        <w:t>109學年度第2學期第1次教務會議</w:t>
      </w:r>
      <w:r>
        <w:rPr>
          <w:rFonts w:ascii="標楷體" w:hAnsi="標楷體" w:hint="eastAsia"/>
          <w:b w:val="0"/>
          <w:sz w:val="20"/>
          <w:szCs w:val="20"/>
        </w:rPr>
        <w:t>修正後通過訂定</w:t>
      </w:r>
    </w:p>
    <w:p w:rsidR="00A93CB7" w:rsidRPr="00A93CB7" w:rsidRDefault="00BD07BB" w:rsidP="009C6CCF">
      <w:pPr>
        <w:pStyle w:val="2-"/>
        <w:spacing w:line="300" w:lineRule="exact"/>
        <w:ind w:leftChars="0" w:left="0" w:firstLineChars="0" w:firstLine="0"/>
        <w:jc w:val="right"/>
        <w:outlineLvl w:val="9"/>
        <w:rPr>
          <w:rFonts w:ascii="標楷體" w:hAnsi="標楷體" w:hint="eastAsia"/>
          <w:b w:val="0"/>
          <w:sz w:val="20"/>
          <w:szCs w:val="20"/>
        </w:rPr>
      </w:pPr>
      <w:r>
        <w:rPr>
          <w:rFonts w:ascii="標楷體" w:hAnsi="標楷體" w:hint="eastAsia"/>
          <w:b w:val="0"/>
          <w:sz w:val="20"/>
          <w:szCs w:val="20"/>
        </w:rPr>
        <w:t>亞洲秘字第1100008780號函發布</w:t>
      </w:r>
    </w:p>
    <w:p w:rsidR="00C62A0D" w:rsidRDefault="00C62A0D" w:rsidP="00C62A0D">
      <w:pPr>
        <w:pStyle w:val="2-"/>
        <w:numPr>
          <w:ilvl w:val="0"/>
          <w:numId w:val="17"/>
        </w:numPr>
        <w:spacing w:line="420" w:lineRule="exact"/>
        <w:ind w:leftChars="0" w:left="851" w:firstLineChars="0" w:hanging="851"/>
        <w:jc w:val="left"/>
        <w:outlineLvl w:val="9"/>
        <w:rPr>
          <w:rFonts w:ascii="標楷體" w:hAnsi="標楷體" w:cs="標楷體c.炬.."/>
          <w:b w:val="0"/>
          <w:kern w:val="0"/>
          <w:sz w:val="24"/>
          <w:szCs w:val="24"/>
        </w:rPr>
      </w:pPr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本校為辦理學生成績評量百分制與等第制相關事宜，特訂定本要點。</w:t>
      </w:r>
    </w:p>
    <w:p w:rsidR="00C62A0D" w:rsidRDefault="00C62A0D" w:rsidP="00C62A0D">
      <w:pPr>
        <w:pStyle w:val="2-"/>
        <w:numPr>
          <w:ilvl w:val="0"/>
          <w:numId w:val="17"/>
        </w:numPr>
        <w:spacing w:line="420" w:lineRule="exact"/>
        <w:ind w:leftChars="0" w:left="851" w:firstLineChars="0" w:hanging="851"/>
        <w:jc w:val="left"/>
        <w:outlineLvl w:val="9"/>
        <w:rPr>
          <w:rFonts w:ascii="標楷體" w:hAnsi="標楷體" w:cs="標楷體c.炬.."/>
          <w:b w:val="0"/>
          <w:kern w:val="0"/>
          <w:sz w:val="24"/>
          <w:szCs w:val="24"/>
        </w:rPr>
      </w:pPr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學生學業成績以百分制與等第制並列，授課教師成績以百分制輸入，由系統依「等第制與百分制單科成績對照表」自動轉換等第成績。百分記分法以一百分為滿分，學士班、進修學士班以六十分為及格，研究生以七十分為及格。修讀「專長學程」之他系學生，</w:t>
      </w:r>
      <w:proofErr w:type="gramStart"/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均按</w:t>
      </w:r>
      <w:proofErr w:type="gramEnd"/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「及格/不及格計分制（Pass/Fail制」登錄期末學習成績。以「及格/不及格計分制</w:t>
      </w:r>
      <w:proofErr w:type="gramStart"/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（</w:t>
      </w:r>
      <w:proofErr w:type="gramEnd"/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Pass/Fail 制」之科目，不列入續領獎學金及學期學業平均成績計算。</w:t>
      </w:r>
      <w:r>
        <w:rPr>
          <w:rFonts w:ascii="標楷體" w:hAnsi="標楷體" w:cs="標楷體c.炬.." w:hint="eastAsia"/>
          <w:b w:val="0"/>
          <w:color w:val="FF0000"/>
          <w:kern w:val="0"/>
          <w:sz w:val="24"/>
          <w:szCs w:val="24"/>
        </w:rPr>
        <w:br/>
      </w:r>
      <w:r>
        <w:rPr>
          <w:rFonts w:ascii="標楷體" w:hAnsi="標楷體" w:cs="標楷體c.炬.." w:hint="eastAsia"/>
          <w:b w:val="0"/>
          <w:kern w:val="0"/>
          <w:sz w:val="24"/>
          <w:szCs w:val="24"/>
        </w:rPr>
        <w:t>等第制之等第(grade, G)、等第績分(grade point, GP) 及其與百分制對照表如下：</w:t>
      </w:r>
    </w:p>
    <w:tbl>
      <w:tblPr>
        <w:tblW w:w="88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562"/>
        <w:gridCol w:w="2625"/>
      </w:tblGrid>
      <w:tr w:rsidR="00C62A0D" w:rsidRPr="000A7C98" w:rsidTr="00DE5C52">
        <w:trPr>
          <w:trHeight w:val="924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等第</w:t>
            </w:r>
          </w:p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(grade, G)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等第績分(</w:t>
            </w:r>
            <w:proofErr w:type="spellStart"/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gradepoint,GP</w:t>
            </w:r>
            <w:proofErr w:type="spellEnd"/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7C98">
              <w:rPr>
                <w:rFonts w:ascii="標楷體" w:eastAsia="標楷體" w:hAnsi="標楷體" w:hint="eastAsia"/>
                <w:sz w:val="26"/>
                <w:szCs w:val="26"/>
              </w:rPr>
              <w:t>百分制</w:t>
            </w:r>
          </w:p>
          <w:p w:rsidR="00C62A0D" w:rsidRPr="000A7C98" w:rsidRDefault="00C62A0D" w:rsidP="00DE5C52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7C98">
              <w:rPr>
                <w:rFonts w:ascii="標楷體" w:eastAsia="標楷體" w:hAnsi="標楷體" w:hint="eastAsia"/>
                <w:sz w:val="26"/>
                <w:szCs w:val="26"/>
              </w:rPr>
              <w:t>分數區間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A+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4.3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90-100</w:t>
            </w:r>
          </w:p>
        </w:tc>
      </w:tr>
      <w:tr w:rsidR="00C62A0D" w:rsidRPr="000A7C98" w:rsidTr="00DE5C52">
        <w:trPr>
          <w:trHeight w:val="315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4.0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85-89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A-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3.7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80-84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B+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3.3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77-79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B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3.0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73-76</w:t>
            </w:r>
          </w:p>
        </w:tc>
      </w:tr>
      <w:tr w:rsidR="00C62A0D" w:rsidRPr="000A7C98" w:rsidTr="00DE5C52">
        <w:trPr>
          <w:trHeight w:val="315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B-(研究生及格標準)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2.7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70-72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C+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2.3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67-69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C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2.0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63-66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C-(學士班及格標準)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1.7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60-62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1.0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50-59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0.0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>1-49</w:t>
            </w:r>
          </w:p>
        </w:tc>
      </w:tr>
      <w:tr w:rsidR="00C62A0D" w:rsidRPr="000A7C98" w:rsidTr="00DE5C52">
        <w:trPr>
          <w:trHeight w:val="303"/>
          <w:jc w:val="right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350" w:firstLine="910"/>
              <w:jc w:val="left"/>
              <w:outlineLvl w:val="9"/>
              <w:rPr>
                <w:rFonts w:ascii="標楷體" w:hAnsi="標楷體"/>
                <w:b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sz w:val="26"/>
                <w:szCs w:val="26"/>
              </w:rPr>
              <w:t xml:space="preserve">      X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0.0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A0D" w:rsidRPr="000A7C98" w:rsidRDefault="00C62A0D" w:rsidP="00DE5C52">
            <w:pPr>
              <w:pStyle w:val="2-"/>
              <w:spacing w:line="420" w:lineRule="exact"/>
              <w:ind w:leftChars="0" w:left="0" w:firstLineChars="0" w:firstLine="0"/>
              <w:jc w:val="center"/>
              <w:outlineLvl w:val="9"/>
              <w:rPr>
                <w:rFonts w:ascii="標楷體" w:hAnsi="標楷體"/>
                <w:b w:val="0"/>
                <w:kern w:val="0"/>
                <w:sz w:val="26"/>
                <w:szCs w:val="26"/>
              </w:rPr>
            </w:pPr>
            <w:r w:rsidRPr="000A7C98">
              <w:rPr>
                <w:rFonts w:ascii="標楷體" w:hAnsi="標楷體" w:hint="eastAsia"/>
                <w:b w:val="0"/>
                <w:kern w:val="0"/>
                <w:sz w:val="26"/>
                <w:szCs w:val="26"/>
              </w:rPr>
              <w:t>0</w:t>
            </w:r>
          </w:p>
        </w:tc>
      </w:tr>
    </w:tbl>
    <w:p w:rsidR="00C62A0D" w:rsidRDefault="00C62A0D" w:rsidP="00C62A0D">
      <w:pPr>
        <w:spacing w:line="420" w:lineRule="exact"/>
        <w:ind w:leftChars="350" w:left="840"/>
        <w:jc w:val="both"/>
        <w:rPr>
          <w:rFonts w:ascii="標楷體" w:eastAsia="標楷體" w:hAnsi="標楷體" w:cs="標楷體c.炬.."/>
          <w:bCs/>
          <w:kern w:val="0"/>
        </w:rPr>
      </w:pPr>
      <w:proofErr w:type="gramStart"/>
      <w:r>
        <w:rPr>
          <w:rFonts w:ascii="標楷體" w:eastAsia="標楷體" w:hAnsi="標楷體" w:cs="標楷體c.炬.." w:hint="eastAsia"/>
          <w:bCs/>
          <w:kern w:val="0"/>
        </w:rPr>
        <w:t>採等第制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 xml:space="preserve">時，各科目成績以等第(G)呈現，並依其對照之等第績分(GP)計算等第績分平均(grade point </w:t>
      </w:r>
      <w:proofErr w:type="spellStart"/>
      <w:r>
        <w:rPr>
          <w:rFonts w:ascii="標楷體" w:eastAsia="標楷體" w:hAnsi="標楷體" w:cs="標楷體c.炬.." w:hint="eastAsia"/>
          <w:bCs/>
          <w:kern w:val="0"/>
        </w:rPr>
        <w:t>average,GPA</w:t>
      </w:r>
      <w:proofErr w:type="spellEnd"/>
      <w:r>
        <w:rPr>
          <w:rFonts w:ascii="標楷體" w:eastAsia="標楷體" w:hAnsi="標楷體" w:cs="標楷體c.炬.." w:hint="eastAsia"/>
          <w:bCs/>
          <w:kern w:val="0"/>
        </w:rPr>
        <w:t>)。</w:t>
      </w:r>
    </w:p>
    <w:p w:rsidR="00C62A0D" w:rsidRDefault="00C62A0D" w:rsidP="00C62A0D">
      <w:pPr>
        <w:spacing w:line="420" w:lineRule="exact"/>
        <w:ind w:leftChars="350" w:left="84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等第績分平均(GPA)之計算方法如下：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320" w:hangingChars="20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各科目成績(GP)乘該科目學分數之總和為等第績分總數。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320" w:hangingChars="20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各科目學分數乘該科目所得之等第積分之總和為等第積分總數。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320" w:hangingChars="20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lastRenderedPageBreak/>
        <w:t>學生所修科目之學分總和為學分總數。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320" w:hangingChars="20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以等第績分總數除以學分總數為學業等第績分平均(GPA)成績。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學業等第績分平均(GPA)之計算，包括不及格科目及零分之科目。暑修成績不列入學期(年)、歷年學業等第績分平均成績計算，但列入畢業成績計算。</w:t>
      </w:r>
    </w:p>
    <w:p w:rsidR="00C62A0D" w:rsidRDefault="00C62A0D" w:rsidP="00C62A0D">
      <w:pPr>
        <w:pStyle w:val="a3"/>
        <w:numPr>
          <w:ilvl w:val="1"/>
          <w:numId w:val="18"/>
        </w:numPr>
        <w:spacing w:after="180" w:line="420" w:lineRule="exact"/>
        <w:ind w:leftChars="350" w:left="1320" w:hangingChars="200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體育、全民國防教育軍事訓練選修課程併入核計。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學生各項成績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排名均以百分制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計算，學士班學業成績排名以班級為單位，延畢生之畢業（累計）排名與應屆畢業生合併計算，原各學期排名不變。研究所二年級以上因專業領域不同，不做學業成績排名。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成績複查：</w:t>
      </w:r>
    </w:p>
    <w:p w:rsidR="00C62A0D" w:rsidRDefault="00C62A0D" w:rsidP="00C62A0D">
      <w:pPr>
        <w:pStyle w:val="a3"/>
        <w:numPr>
          <w:ilvl w:val="0"/>
          <w:numId w:val="19"/>
        </w:numPr>
        <w:spacing w:after="180" w:line="420" w:lineRule="exact"/>
        <w:ind w:leftChars="0" w:left="1418" w:hanging="567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學生對授課教師定之學期成績有疑義者，應於成績登錄截止日兩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週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內，洽就讀學系(或通識教育中心)填其「學生成績複查申請表」申請成績複查；學系(或通識教育中心)受理後，應於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一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週轉知授課教師處理。</w:t>
      </w:r>
    </w:p>
    <w:p w:rsidR="00C62A0D" w:rsidRDefault="00C62A0D" w:rsidP="00C62A0D">
      <w:pPr>
        <w:pStyle w:val="a3"/>
        <w:numPr>
          <w:ilvl w:val="0"/>
          <w:numId w:val="19"/>
        </w:numPr>
        <w:spacing w:after="180" w:line="420" w:lineRule="exact"/>
        <w:ind w:leftChars="0" w:left="1418" w:hanging="567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授課教師接獲成績複查通知，應於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一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週內就申請事項明確認後答覆學生並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副知系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所辦公室(或通識教育中心 )。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學期成績更正：</w:t>
      </w:r>
    </w:p>
    <w:p w:rsidR="00C62A0D" w:rsidRDefault="00C62A0D" w:rsidP="00C62A0D">
      <w:pPr>
        <w:pStyle w:val="a3"/>
        <w:numPr>
          <w:ilvl w:val="0"/>
          <w:numId w:val="20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學生學期成績經任課教師評定後，於教務處規定之成績登錄截止日前逕自上網登錄， 登錄後不得請求更改。如確因教師計算錯誤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或漏登成績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時，任課教師應填「亞洲大學教師更正成績登錄申請表」，並檢附下列資料，以憑辦理：</w:t>
      </w:r>
    </w:p>
    <w:p w:rsidR="00C62A0D" w:rsidRDefault="00C62A0D" w:rsidP="00C62A0D">
      <w:pPr>
        <w:pStyle w:val="a3"/>
        <w:numPr>
          <w:ilvl w:val="0"/>
          <w:numId w:val="21"/>
        </w:numPr>
        <w:spacing w:after="180" w:line="420" w:lineRule="exact"/>
        <w:ind w:leftChars="0" w:left="1645" w:hanging="284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因試卷、報告有漏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閱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，或成績計算錯誤者，應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檢附作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答試卷原件，並註明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漏閱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題號及相關核計資料等。</w:t>
      </w:r>
    </w:p>
    <w:p w:rsidR="00C62A0D" w:rsidRDefault="00C62A0D" w:rsidP="00C62A0D">
      <w:pPr>
        <w:pStyle w:val="a3"/>
        <w:numPr>
          <w:ilvl w:val="0"/>
          <w:numId w:val="21"/>
        </w:numPr>
        <w:spacing w:after="180" w:line="420" w:lineRule="exact"/>
        <w:ind w:leftChars="0" w:left="1645" w:hanging="284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學科成績（含實驗）分數核計錯誤，應檢附學期成績計算原始資料；若有比率加分之情形者，則應檢附相關加分規定。</w:t>
      </w:r>
    </w:p>
    <w:p w:rsidR="00C62A0D" w:rsidRDefault="00C62A0D" w:rsidP="00C62A0D">
      <w:pPr>
        <w:pStyle w:val="a3"/>
        <w:numPr>
          <w:ilvl w:val="0"/>
          <w:numId w:val="21"/>
        </w:numPr>
        <w:spacing w:after="180" w:line="420" w:lineRule="exact"/>
        <w:ind w:leftChars="0" w:left="1645" w:hanging="284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成績登記錯誤者，應檢附成績登記原始資料。</w:t>
      </w:r>
    </w:p>
    <w:p w:rsidR="00C62A0D" w:rsidRDefault="00C62A0D" w:rsidP="00C62A0D">
      <w:pPr>
        <w:pStyle w:val="a3"/>
        <w:numPr>
          <w:ilvl w:val="0"/>
          <w:numId w:val="21"/>
        </w:numPr>
        <w:spacing w:after="180" w:line="420" w:lineRule="exact"/>
        <w:ind w:leftChars="0" w:left="1645" w:hanging="284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授課教師其他相關疏失應附相關資料。</w:t>
      </w:r>
    </w:p>
    <w:p w:rsidR="00C62A0D" w:rsidRDefault="00C62A0D" w:rsidP="00C62A0D">
      <w:pPr>
        <w:pStyle w:val="a3"/>
        <w:numPr>
          <w:ilvl w:val="0"/>
          <w:numId w:val="20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學期成績更正時間，最遲應於次一學期開學後兩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週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內提出書面申請，逾期概不受理。</w:t>
      </w:r>
    </w:p>
    <w:p w:rsidR="00C62A0D" w:rsidRDefault="00C62A0D" w:rsidP="00C62A0D">
      <w:pPr>
        <w:pStyle w:val="a3"/>
        <w:numPr>
          <w:ilvl w:val="0"/>
          <w:numId w:val="20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lastRenderedPageBreak/>
        <w:t>教師應將申請更改成績案送交系（所、學位學程、通識教育中心）主任、院長、教務長審核後，始得更正。必要時得經教務長批示後送教務會議審議。</w:t>
      </w:r>
    </w:p>
    <w:p w:rsidR="00C62A0D" w:rsidRDefault="00C62A0D" w:rsidP="00C62A0D">
      <w:pPr>
        <w:pStyle w:val="a3"/>
        <w:numPr>
          <w:ilvl w:val="0"/>
          <w:numId w:val="20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成績更正案之程序全部完成時，若已超過排名作業時間者，當學期不得再重新排名， 以免損及其他學生權益。</w:t>
      </w:r>
    </w:p>
    <w:p w:rsidR="00C62A0D" w:rsidRDefault="00C62A0D" w:rsidP="00C62A0D">
      <w:pPr>
        <w:pStyle w:val="a3"/>
        <w:numPr>
          <w:ilvl w:val="0"/>
          <w:numId w:val="20"/>
        </w:numPr>
        <w:spacing w:after="180" w:line="420" w:lineRule="exact"/>
        <w:ind w:leftChars="350" w:left="1416" w:hangingChars="240" w:hanging="576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為避免學生對學期成績有疑義時，因無法聯絡授課教授以致錯過成績更正之期限，授課教授應於學期結束之前，告知學生聯絡方式。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成績排名：</w:t>
      </w:r>
    </w:p>
    <w:p w:rsidR="00C62A0D" w:rsidRDefault="00C62A0D" w:rsidP="00C62A0D">
      <w:pPr>
        <w:spacing w:line="420" w:lineRule="exact"/>
        <w:ind w:left="851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依本要點第二點第三項計算之學業等第績分平均(GPA)，由高而低排序。</w:t>
      </w:r>
    </w:p>
    <w:p w:rsidR="00C62A0D" w:rsidRDefault="00C62A0D" w:rsidP="00C62A0D">
      <w:pPr>
        <w:pStyle w:val="a3"/>
        <w:numPr>
          <w:ilvl w:val="0"/>
          <w:numId w:val="22"/>
        </w:numPr>
        <w:spacing w:after="180" w:line="420" w:lineRule="exact"/>
        <w:ind w:leftChars="0" w:left="1333" w:hanging="482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學期排名：</w:t>
      </w:r>
      <w:r>
        <w:rPr>
          <w:rFonts w:ascii="標楷體" w:eastAsia="標楷體" w:hAnsi="標楷體" w:cs="標楷體c.炬.." w:hint="eastAsia"/>
          <w:bCs/>
          <w:kern w:val="0"/>
        </w:rPr>
        <w:br/>
        <w:t>各科目成績(GP)乘該科目學分數之總和為等第績分總數。</w:t>
      </w:r>
    </w:p>
    <w:p w:rsidR="00C62A0D" w:rsidRDefault="00C62A0D" w:rsidP="00C62A0D">
      <w:pPr>
        <w:pStyle w:val="a3"/>
        <w:numPr>
          <w:ilvl w:val="0"/>
          <w:numId w:val="22"/>
        </w:numPr>
        <w:spacing w:after="180" w:line="420" w:lineRule="exact"/>
        <w:ind w:leftChars="0" w:left="1333" w:hanging="482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學年排名：</w:t>
      </w:r>
      <w:r>
        <w:rPr>
          <w:rFonts w:ascii="標楷體" w:eastAsia="標楷體" w:hAnsi="標楷體" w:cs="標楷體c.炬.." w:hint="eastAsia"/>
          <w:bCs/>
          <w:kern w:val="0"/>
        </w:rPr>
        <w:br/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依當學年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GPA 排名，GPA 相同者，依上、下學期操行平均成績排名；兩者均相同者，並列排名。</w:t>
      </w:r>
      <w:r>
        <w:rPr>
          <w:rFonts w:ascii="標楷體" w:eastAsia="標楷體" w:hAnsi="標楷體" w:cs="標楷體c.炬.." w:hint="eastAsia"/>
          <w:bCs/>
          <w:kern w:val="0"/>
        </w:rPr>
        <w:br/>
        <w:t>學士班當學年上、下學期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修課皆未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達九學分者不予排名，延修生併入最高年級排名。</w:t>
      </w:r>
    </w:p>
    <w:p w:rsidR="00C62A0D" w:rsidRDefault="00C62A0D" w:rsidP="00C62A0D">
      <w:pPr>
        <w:pStyle w:val="a3"/>
        <w:numPr>
          <w:ilvl w:val="0"/>
          <w:numId w:val="22"/>
        </w:numPr>
        <w:spacing w:after="180" w:line="420" w:lineRule="exact"/>
        <w:ind w:leftChars="0" w:left="1333" w:hanging="482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在校歷年成績排名：</w:t>
      </w:r>
      <w:r>
        <w:rPr>
          <w:rFonts w:ascii="標楷體" w:eastAsia="標楷體" w:hAnsi="標楷體" w:cs="標楷體c.炬.." w:hint="eastAsia"/>
          <w:bCs/>
          <w:kern w:val="0"/>
        </w:rPr>
        <w:br/>
        <w:t>依在校歷年修習科目之GPA 排名，GPA 相同者，並列排名。</w:t>
      </w:r>
      <w:r>
        <w:rPr>
          <w:rFonts w:ascii="標楷體" w:eastAsia="標楷體" w:hAnsi="標楷體" w:cs="標楷體c.炬.." w:hint="eastAsia"/>
          <w:bCs/>
          <w:kern w:val="0"/>
        </w:rPr>
        <w:br/>
        <w:t>學士班延修生併入最高年級排名。</w:t>
      </w:r>
    </w:p>
    <w:p w:rsidR="00C62A0D" w:rsidRDefault="00C62A0D" w:rsidP="00C62A0D">
      <w:pPr>
        <w:pStyle w:val="a3"/>
        <w:numPr>
          <w:ilvl w:val="0"/>
          <w:numId w:val="22"/>
        </w:numPr>
        <w:spacing w:after="180" w:line="420" w:lineRule="exact"/>
        <w:ind w:leftChars="0" w:left="1333" w:hanging="482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畢業成績排名：</w:t>
      </w:r>
      <w:r>
        <w:rPr>
          <w:rFonts w:ascii="標楷體" w:eastAsia="標楷體" w:hAnsi="標楷體" w:cs="標楷體c.炬.." w:hint="eastAsia"/>
          <w:bCs/>
          <w:kern w:val="0"/>
        </w:rPr>
        <w:br/>
        <w:t>凡於同學年度畢業之學生，依入學至畢業所修科目之GPA 排名，GPA 相同者，並列排名。</w:t>
      </w:r>
      <w:r>
        <w:rPr>
          <w:rFonts w:ascii="標楷體" w:eastAsia="標楷體" w:hAnsi="標楷體" w:cs="標楷體c.炬.." w:hint="eastAsia"/>
          <w:bCs/>
          <w:kern w:val="0"/>
        </w:rPr>
        <w:br/>
        <w:t>第一學期畢業生併入第二學期畢業班排名。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教師成績輸入時程與注意事項：</w:t>
      </w:r>
    </w:p>
    <w:p w:rsidR="00C62A0D" w:rsidRDefault="00C62A0D" w:rsidP="00C62A0D">
      <w:pPr>
        <w:spacing w:line="420" w:lineRule="exact"/>
        <w:ind w:left="851"/>
        <w:jc w:val="both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成績輸入</w:t>
      </w:r>
      <w:proofErr w:type="gramStart"/>
      <w:r>
        <w:rPr>
          <w:rFonts w:ascii="標楷體" w:eastAsia="標楷體" w:hAnsi="標楷體" w:cs="標楷體c.炬.." w:hint="eastAsia"/>
          <w:bCs/>
          <w:kern w:val="0"/>
        </w:rPr>
        <w:t>時程依本校</w:t>
      </w:r>
      <w:proofErr w:type="gramEnd"/>
      <w:r>
        <w:rPr>
          <w:rFonts w:ascii="標楷體" w:eastAsia="標楷體" w:hAnsi="標楷體" w:cs="標楷體c.炬.." w:hint="eastAsia"/>
          <w:bCs/>
          <w:kern w:val="0"/>
        </w:rPr>
        <w:t>行事曆或教務處公告辦理。教師應於成績輸入時程登錄成績，以利確認期中預警學生名單並及時進行課業輔導事宜。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本校另訂等第績分平均(GPA)與對應之百分數對照表(如附表)，供外界參酌使用。</w:t>
      </w:r>
    </w:p>
    <w:p w:rsidR="00C62A0D" w:rsidRDefault="00C62A0D" w:rsidP="00C62A0D">
      <w:pPr>
        <w:pStyle w:val="a3"/>
        <w:numPr>
          <w:ilvl w:val="0"/>
          <w:numId w:val="17"/>
        </w:numPr>
        <w:spacing w:after="180" w:line="420" w:lineRule="exact"/>
        <w:ind w:leftChars="0" w:left="851" w:hanging="851"/>
        <w:rPr>
          <w:rFonts w:ascii="標楷體" w:eastAsia="標楷體" w:hAnsi="標楷體" w:cs="標楷體c.炬.."/>
          <w:bCs/>
          <w:kern w:val="0"/>
        </w:rPr>
      </w:pPr>
      <w:r>
        <w:rPr>
          <w:rFonts w:ascii="標楷體" w:eastAsia="標楷體" w:hAnsi="標楷體" w:cs="標楷體c.炬.." w:hint="eastAsia"/>
          <w:bCs/>
          <w:kern w:val="0"/>
        </w:rPr>
        <w:t>本要點經教務會議通過，陳請校長公布後實施，修正時亦同。</w:t>
      </w:r>
    </w:p>
    <w:p w:rsidR="003F46B2" w:rsidRPr="00B5717F" w:rsidRDefault="00D003AD" w:rsidP="00B5717F">
      <w:pPr>
        <w:rPr>
          <w:rFonts w:ascii="標楷體" w:eastAsia="標楷體" w:hAnsi="標楷體"/>
          <w:szCs w:val="28"/>
        </w:rPr>
      </w:pPr>
    </w:p>
    <w:sectPr w:rsidR="003F46B2" w:rsidRPr="00B5717F" w:rsidSect="002276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AD" w:rsidRDefault="00D003AD">
      <w:r>
        <w:separator/>
      </w:r>
    </w:p>
  </w:endnote>
  <w:endnote w:type="continuationSeparator" w:id="0">
    <w:p w:rsidR="00D003AD" w:rsidRDefault="00D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c.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D5" w:rsidRDefault="00C62A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594197">
      <w:rPr>
        <w:noProof/>
        <w:lang w:val="zh-TW"/>
      </w:rPr>
      <w:t>7</w:t>
    </w:r>
    <w:r>
      <w:fldChar w:fldCharType="end"/>
    </w:r>
  </w:p>
  <w:p w:rsidR="005B5FD5" w:rsidRDefault="00D003AD">
    <w:pPr>
      <w:pStyle w:val="a7"/>
    </w:pPr>
  </w:p>
  <w:p w:rsidR="005B5FD5" w:rsidRDefault="00D003AD" w:rsidP="00D464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AD" w:rsidRDefault="00D003AD">
      <w:r>
        <w:separator/>
      </w:r>
    </w:p>
  </w:footnote>
  <w:footnote w:type="continuationSeparator" w:id="0">
    <w:p w:rsidR="00D003AD" w:rsidRDefault="00D0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D5" w:rsidRDefault="00D003AD">
    <w:pPr>
      <w:pStyle w:val="a5"/>
    </w:pPr>
  </w:p>
  <w:p w:rsidR="005B5FD5" w:rsidRDefault="00D003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D5" w:rsidRDefault="00D003AD">
    <w:pPr>
      <w:pStyle w:val="a5"/>
    </w:pPr>
  </w:p>
  <w:p w:rsidR="005B5FD5" w:rsidRDefault="00D003AD" w:rsidP="00D464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D5" w:rsidRDefault="00D003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01A"/>
    <w:multiLevelType w:val="hybridMultilevel"/>
    <w:tmpl w:val="61D0C1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972A9"/>
    <w:multiLevelType w:val="hybridMultilevel"/>
    <w:tmpl w:val="31F296CC"/>
    <w:lvl w:ilvl="0" w:tplc="BF14E0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179E1"/>
    <w:multiLevelType w:val="hybridMultilevel"/>
    <w:tmpl w:val="05E454A4"/>
    <w:lvl w:ilvl="0" w:tplc="6EE6F8F8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B1F82"/>
    <w:multiLevelType w:val="hybridMultilevel"/>
    <w:tmpl w:val="FD8C9F9E"/>
    <w:lvl w:ilvl="0" w:tplc="5052BC1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A3953"/>
    <w:multiLevelType w:val="hybridMultilevel"/>
    <w:tmpl w:val="D0641A9A"/>
    <w:lvl w:ilvl="0" w:tplc="BF14E01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1D10BA0"/>
    <w:multiLevelType w:val="hybridMultilevel"/>
    <w:tmpl w:val="2ECA82EC"/>
    <w:lvl w:ilvl="0" w:tplc="DE2E2AD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7F3CDF"/>
    <w:multiLevelType w:val="hybridMultilevel"/>
    <w:tmpl w:val="F3C43E10"/>
    <w:lvl w:ilvl="0" w:tplc="7012D04C">
      <w:start w:val="1"/>
      <w:numFmt w:val="taiwaneseCountingThousand"/>
      <w:lvlText w:val="(%1)"/>
      <w:lvlJc w:val="left"/>
      <w:pPr>
        <w:ind w:left="970" w:hanging="480"/>
      </w:pPr>
      <w:rPr>
        <w:rFonts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7" w15:restartNumberingAfterBreak="0">
    <w:nsid w:val="3E963DE5"/>
    <w:multiLevelType w:val="hybridMultilevel"/>
    <w:tmpl w:val="25B0494A"/>
    <w:lvl w:ilvl="0" w:tplc="41BAFB3E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BF14E0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14104C"/>
    <w:multiLevelType w:val="hybridMultilevel"/>
    <w:tmpl w:val="40124924"/>
    <w:lvl w:ilvl="0" w:tplc="6666E4D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D07E1"/>
    <w:multiLevelType w:val="hybridMultilevel"/>
    <w:tmpl w:val="FD8C9F9E"/>
    <w:lvl w:ilvl="0" w:tplc="5052BC1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1038D"/>
    <w:multiLevelType w:val="hybridMultilevel"/>
    <w:tmpl w:val="B7C806F0"/>
    <w:lvl w:ilvl="0" w:tplc="DE2E2AD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923883"/>
    <w:multiLevelType w:val="hybridMultilevel"/>
    <w:tmpl w:val="60DA0398"/>
    <w:lvl w:ilvl="0" w:tplc="610434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765324"/>
    <w:multiLevelType w:val="hybridMultilevel"/>
    <w:tmpl w:val="F1B43C1C"/>
    <w:lvl w:ilvl="0" w:tplc="BF14E0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C319EF"/>
    <w:multiLevelType w:val="hybridMultilevel"/>
    <w:tmpl w:val="4FD647AA"/>
    <w:lvl w:ilvl="0" w:tplc="C17C485E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5B2D11"/>
    <w:multiLevelType w:val="hybridMultilevel"/>
    <w:tmpl w:val="F22656AA"/>
    <w:lvl w:ilvl="0" w:tplc="335CA9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073D4D"/>
    <w:multiLevelType w:val="hybridMultilevel"/>
    <w:tmpl w:val="62642AAA"/>
    <w:lvl w:ilvl="0" w:tplc="1B4C79FC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C8300A3"/>
    <w:multiLevelType w:val="hybridMultilevel"/>
    <w:tmpl w:val="405A4170"/>
    <w:lvl w:ilvl="0" w:tplc="DE2E2AD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0D"/>
    <w:rsid w:val="000812CC"/>
    <w:rsid w:val="004765CB"/>
    <w:rsid w:val="00831E28"/>
    <w:rsid w:val="009C6CCF"/>
    <w:rsid w:val="00A93CB7"/>
    <w:rsid w:val="00B5717F"/>
    <w:rsid w:val="00BB6D1A"/>
    <w:rsid w:val="00BD07BB"/>
    <w:rsid w:val="00C62A0D"/>
    <w:rsid w:val="00D003AD"/>
    <w:rsid w:val="00D7757F"/>
    <w:rsid w:val="00DB2568"/>
    <w:rsid w:val="00F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4CDD2"/>
  <w15:chartTrackingRefBased/>
  <w15:docId w15:val="{A1F65ED5-09FF-469D-8E9C-EA79D55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aliases w:val="校務發展計畫書節"/>
    <w:basedOn w:val="a"/>
    <w:next w:val="a"/>
    <w:link w:val="20"/>
    <w:qFormat/>
    <w:rsid w:val="00C62A0D"/>
    <w:pPr>
      <w:keepNext/>
      <w:spacing w:afterLines="50"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校務發展計畫書節 字元"/>
    <w:basedOn w:val="a0"/>
    <w:link w:val="2"/>
    <w:rsid w:val="00C62A0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aliases w:val="卑南壹,標1"/>
    <w:basedOn w:val="a"/>
    <w:link w:val="a4"/>
    <w:uiPriority w:val="34"/>
    <w:qFormat/>
    <w:rsid w:val="00C62A0D"/>
    <w:pPr>
      <w:ind w:leftChars="200" w:left="480"/>
    </w:pPr>
  </w:style>
  <w:style w:type="character" w:customStyle="1" w:styleId="a4">
    <w:name w:val="清單段落 字元"/>
    <w:aliases w:val="卑南壹 字元,標1 字元"/>
    <w:link w:val="a3"/>
    <w:uiPriority w:val="34"/>
    <w:qFormat/>
    <w:locked/>
    <w:rsid w:val="00C62A0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C6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2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2A0D"/>
    <w:rPr>
      <w:rFonts w:ascii="Times New Roman" w:eastAsia="新細明體" w:hAnsi="Times New Roman" w:cs="Times New Roman"/>
      <w:sz w:val="20"/>
      <w:szCs w:val="20"/>
    </w:rPr>
  </w:style>
  <w:style w:type="paragraph" w:customStyle="1" w:styleId="2-">
    <w:name w:val="樣式2-案由"/>
    <w:basedOn w:val="a"/>
    <w:link w:val="2-0"/>
    <w:qFormat/>
    <w:rsid w:val="00C62A0D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character" w:customStyle="1" w:styleId="2-0">
    <w:name w:val="樣式2-案由 字元"/>
    <w:link w:val="2-"/>
    <w:rsid w:val="00C62A0D"/>
    <w:rPr>
      <w:rFonts w:ascii="Arial" w:eastAsia="標楷體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BD82-F70B-4F43-A3D1-214CD413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>亞洲大學 Asia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黃種恩</dc:creator>
  <cp:keywords/>
  <dc:description/>
  <cp:lastModifiedBy>張曉芸</cp:lastModifiedBy>
  <cp:revision>2</cp:revision>
  <dcterms:created xsi:type="dcterms:W3CDTF">2021-07-19T06:39:00Z</dcterms:created>
  <dcterms:modified xsi:type="dcterms:W3CDTF">2021-07-19T06:39:00Z</dcterms:modified>
</cp:coreProperties>
</file>